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B8" w:rsidRPr="000C1BB8" w:rsidRDefault="000C1BB8" w:rsidP="000C1BB8">
      <w:pPr>
        <w:kinsoku w:val="0"/>
        <w:overflowPunct w:val="0"/>
        <w:autoSpaceDE w:val="0"/>
        <w:autoSpaceDN w:val="0"/>
        <w:adjustRightInd w:val="0"/>
        <w:spacing w:after="0" w:line="209" w:lineRule="exact"/>
        <w:ind w:left="40"/>
        <w:outlineLvl w:val="0"/>
        <w:rPr>
          <w:rFonts w:ascii="Calibri" w:hAnsi="Calibri" w:cs="Calibri"/>
          <w:b/>
          <w:bCs/>
          <w:w w:val="105"/>
          <w:sz w:val="20"/>
          <w:szCs w:val="20"/>
        </w:rPr>
      </w:pPr>
      <w:r w:rsidRPr="000C1BB8">
        <w:rPr>
          <w:rFonts w:ascii="Calibri" w:hAnsi="Calibri" w:cs="Calibri"/>
          <w:b/>
          <w:bCs/>
          <w:w w:val="105"/>
          <w:sz w:val="20"/>
          <w:szCs w:val="20"/>
        </w:rPr>
        <w:t>Elementa</w:t>
      </w:r>
      <w:bookmarkStart w:id="0" w:name="_GoBack"/>
      <w:bookmarkEnd w:id="0"/>
      <w:r w:rsidRPr="000C1BB8">
        <w:rPr>
          <w:rFonts w:ascii="Calibri" w:hAnsi="Calibri" w:cs="Calibri"/>
          <w:b/>
          <w:bCs/>
          <w:w w:val="105"/>
          <w:sz w:val="20"/>
          <w:szCs w:val="20"/>
        </w:rPr>
        <w:t>ry Licensure Rate</w:t>
      </w:r>
    </w:p>
    <w:p w:rsidR="000C1BB8" w:rsidRPr="000C1BB8" w:rsidRDefault="000C1BB8" w:rsidP="000C1BB8">
      <w:pPr>
        <w:kinsoku w:val="0"/>
        <w:overflowPunct w:val="0"/>
        <w:autoSpaceDE w:val="0"/>
        <w:autoSpaceDN w:val="0"/>
        <w:adjustRightInd w:val="0"/>
        <w:spacing w:after="0" w:line="240" w:lineRule="auto"/>
        <w:ind w:left="40"/>
        <w:jc w:val="both"/>
        <w:rPr>
          <w:rFonts w:ascii="Calibri" w:hAnsi="Calibri" w:cs="Calibri"/>
          <w:b/>
          <w:bCs/>
          <w:w w:val="105"/>
          <w:sz w:val="20"/>
          <w:szCs w:val="20"/>
        </w:rPr>
      </w:pPr>
      <w:r w:rsidRPr="000C1BB8">
        <w:rPr>
          <w:rFonts w:ascii="Calibri" w:hAnsi="Calibri" w:cs="Calibri"/>
          <w:b/>
          <w:bCs/>
          <w:w w:val="105"/>
          <w:sz w:val="20"/>
          <w:szCs w:val="20"/>
        </w:rPr>
        <w:t>Matriculation AY's 2016‐17 through 2019‐20</w:t>
      </w:r>
    </w:p>
    <w:p w:rsidR="000C1BB8" w:rsidRPr="000C1BB8" w:rsidRDefault="000C1BB8" w:rsidP="000C1BB8">
      <w:pPr>
        <w:kinsoku w:val="0"/>
        <w:overflowPunct w:val="0"/>
        <w:autoSpaceDE w:val="0"/>
        <w:autoSpaceDN w:val="0"/>
        <w:adjustRightInd w:val="0"/>
        <w:spacing w:after="0" w:line="240" w:lineRule="auto"/>
        <w:rPr>
          <w:rFonts w:ascii="Calibri" w:hAnsi="Calibri" w:cs="Calibri"/>
          <w:b/>
          <w:bCs/>
          <w:sz w:val="24"/>
          <w:szCs w:val="24"/>
        </w:rPr>
      </w:pPr>
    </w:p>
    <w:p w:rsidR="000C1BB8" w:rsidRPr="000C1BB8" w:rsidRDefault="000C1BB8" w:rsidP="000C1BB8">
      <w:pPr>
        <w:kinsoku w:val="0"/>
        <w:overflowPunct w:val="0"/>
        <w:autoSpaceDE w:val="0"/>
        <w:autoSpaceDN w:val="0"/>
        <w:adjustRightInd w:val="0"/>
        <w:spacing w:after="0" w:line="240" w:lineRule="auto"/>
        <w:ind w:left="40"/>
        <w:jc w:val="both"/>
        <w:rPr>
          <w:rFonts w:ascii="Calibri" w:hAnsi="Calibri" w:cs="Calibri"/>
          <w:w w:val="105"/>
          <w:sz w:val="20"/>
          <w:szCs w:val="20"/>
        </w:rPr>
      </w:pPr>
      <w:r w:rsidRPr="000C1BB8">
        <w:rPr>
          <w:rFonts w:ascii="Calibri" w:hAnsi="Calibri" w:cs="Calibri"/>
          <w:w w:val="105"/>
          <w:sz w:val="20"/>
          <w:szCs w:val="20"/>
          <w:u w:val="single" w:color="000000"/>
        </w:rPr>
        <w:t>Data Notes</w:t>
      </w:r>
    </w:p>
    <w:tbl>
      <w:tblPr>
        <w:tblpPr w:leftFromText="180" w:rightFromText="180" w:vertAnchor="text" w:horzAnchor="margin" w:tblpXSpec="right" w:tblpY="201"/>
        <w:tblW w:w="0" w:type="auto"/>
        <w:tblBorders>
          <w:top w:val="single" w:sz="2" w:space="0" w:color="5A9BD5"/>
          <w:left w:val="single" w:sz="2" w:space="0" w:color="5A9BD5"/>
          <w:bottom w:val="single" w:sz="2" w:space="0" w:color="5A9BD5"/>
          <w:right w:val="single" w:sz="2" w:space="0" w:color="5A9BD5"/>
          <w:insideH w:val="single" w:sz="2" w:space="0" w:color="5A9BD5"/>
          <w:insideV w:val="single" w:sz="2" w:space="0" w:color="5A9BD5"/>
        </w:tblBorders>
        <w:tblLayout w:type="fixed"/>
        <w:tblCellMar>
          <w:left w:w="0" w:type="dxa"/>
          <w:right w:w="0" w:type="dxa"/>
        </w:tblCellMar>
        <w:tblLook w:val="0000" w:firstRow="0" w:lastRow="0" w:firstColumn="0" w:lastColumn="0" w:noHBand="0" w:noVBand="0"/>
      </w:tblPr>
      <w:tblGrid>
        <w:gridCol w:w="1617"/>
        <w:gridCol w:w="1260"/>
        <w:gridCol w:w="1530"/>
        <w:gridCol w:w="990"/>
      </w:tblGrid>
      <w:tr w:rsidR="000C1BB8" w:rsidRPr="000C1BB8" w:rsidTr="000C1BB8">
        <w:tblPrEx>
          <w:tblCellMar>
            <w:top w:w="0" w:type="dxa"/>
            <w:left w:w="0" w:type="dxa"/>
            <w:bottom w:w="0" w:type="dxa"/>
            <w:right w:w="0" w:type="dxa"/>
          </w:tblCellMar>
        </w:tblPrEx>
        <w:trPr>
          <w:trHeight w:val="223"/>
        </w:trPr>
        <w:tc>
          <w:tcPr>
            <w:tcW w:w="1617" w:type="dxa"/>
          </w:tcPr>
          <w:p w:rsidR="000C1BB8" w:rsidRPr="000C1BB8" w:rsidRDefault="000C1BB8" w:rsidP="000C1BB8">
            <w:pPr>
              <w:kinsoku w:val="0"/>
              <w:overflowPunct w:val="0"/>
              <w:autoSpaceDE w:val="0"/>
              <w:autoSpaceDN w:val="0"/>
              <w:adjustRightInd w:val="0"/>
              <w:spacing w:after="0" w:line="204" w:lineRule="exact"/>
              <w:ind w:left="29"/>
              <w:rPr>
                <w:rFonts w:ascii="Calibri" w:hAnsi="Calibri" w:cs="Calibri"/>
                <w:b/>
                <w:bCs/>
                <w:w w:val="105"/>
                <w:sz w:val="20"/>
                <w:szCs w:val="20"/>
              </w:rPr>
            </w:pPr>
            <w:r w:rsidRPr="000C1BB8">
              <w:rPr>
                <w:rFonts w:ascii="Calibri" w:hAnsi="Calibri" w:cs="Calibri"/>
                <w:b/>
                <w:bCs/>
                <w:w w:val="105"/>
                <w:sz w:val="20"/>
                <w:szCs w:val="20"/>
              </w:rPr>
              <w:t>Matriculation AY</w:t>
            </w:r>
          </w:p>
        </w:tc>
        <w:tc>
          <w:tcPr>
            <w:tcW w:w="1260" w:type="dxa"/>
          </w:tcPr>
          <w:p w:rsidR="000C1BB8" w:rsidRPr="000C1BB8" w:rsidRDefault="000C1BB8" w:rsidP="000C1BB8">
            <w:pPr>
              <w:kinsoku w:val="0"/>
              <w:overflowPunct w:val="0"/>
              <w:autoSpaceDE w:val="0"/>
              <w:autoSpaceDN w:val="0"/>
              <w:adjustRightInd w:val="0"/>
              <w:spacing w:after="0" w:line="204" w:lineRule="exact"/>
              <w:ind w:right="105"/>
              <w:jc w:val="right"/>
              <w:rPr>
                <w:rFonts w:ascii="Calibri" w:hAnsi="Calibri" w:cs="Calibri"/>
                <w:b/>
                <w:bCs/>
                <w:sz w:val="20"/>
                <w:szCs w:val="20"/>
              </w:rPr>
            </w:pPr>
            <w:r w:rsidRPr="000C1BB8">
              <w:rPr>
                <w:rFonts w:ascii="Calibri" w:hAnsi="Calibri" w:cs="Calibri"/>
                <w:b/>
                <w:bCs/>
                <w:sz w:val="20"/>
                <w:szCs w:val="20"/>
              </w:rPr>
              <w:t>Matriculated</w:t>
            </w:r>
          </w:p>
        </w:tc>
        <w:tc>
          <w:tcPr>
            <w:tcW w:w="1530" w:type="dxa"/>
          </w:tcPr>
          <w:p w:rsidR="000C1BB8" w:rsidRPr="000C1BB8" w:rsidRDefault="000C1BB8" w:rsidP="000C1BB8">
            <w:pPr>
              <w:kinsoku w:val="0"/>
              <w:overflowPunct w:val="0"/>
              <w:autoSpaceDE w:val="0"/>
              <w:autoSpaceDN w:val="0"/>
              <w:adjustRightInd w:val="0"/>
              <w:spacing w:after="0" w:line="204" w:lineRule="exact"/>
              <w:ind w:right="143"/>
              <w:jc w:val="right"/>
              <w:rPr>
                <w:rFonts w:ascii="Calibri" w:hAnsi="Calibri" w:cs="Calibri"/>
                <w:b/>
                <w:bCs/>
                <w:sz w:val="20"/>
                <w:szCs w:val="20"/>
              </w:rPr>
            </w:pPr>
            <w:r w:rsidRPr="000C1BB8">
              <w:rPr>
                <w:rFonts w:ascii="Calibri" w:hAnsi="Calibri" w:cs="Calibri"/>
                <w:b/>
                <w:bCs/>
                <w:sz w:val="20"/>
                <w:szCs w:val="20"/>
              </w:rPr>
              <w:t>Recommended</w:t>
            </w:r>
          </w:p>
        </w:tc>
        <w:tc>
          <w:tcPr>
            <w:tcW w:w="990" w:type="dxa"/>
          </w:tcPr>
          <w:p w:rsidR="000C1BB8" w:rsidRPr="000C1BB8" w:rsidRDefault="000C1BB8" w:rsidP="000C1BB8">
            <w:pPr>
              <w:kinsoku w:val="0"/>
              <w:overflowPunct w:val="0"/>
              <w:autoSpaceDE w:val="0"/>
              <w:autoSpaceDN w:val="0"/>
              <w:adjustRightInd w:val="0"/>
              <w:spacing w:after="0" w:line="204" w:lineRule="exact"/>
              <w:ind w:right="-15"/>
              <w:jc w:val="center"/>
              <w:rPr>
                <w:rFonts w:ascii="Calibri" w:hAnsi="Calibri" w:cs="Calibri"/>
                <w:b/>
                <w:bCs/>
                <w:sz w:val="20"/>
                <w:szCs w:val="20"/>
              </w:rPr>
            </w:pPr>
            <w:proofErr w:type="spellStart"/>
            <w:r w:rsidRPr="000C1BB8">
              <w:rPr>
                <w:rFonts w:ascii="Calibri" w:hAnsi="Calibri" w:cs="Calibri"/>
                <w:b/>
                <w:bCs/>
                <w:sz w:val="20"/>
                <w:szCs w:val="20"/>
              </w:rPr>
              <w:t>RecRate</w:t>
            </w:r>
            <w:proofErr w:type="spellEnd"/>
          </w:p>
        </w:tc>
      </w:tr>
      <w:tr w:rsidR="000C1BB8" w:rsidRPr="000C1BB8" w:rsidTr="000C1BB8">
        <w:tblPrEx>
          <w:tblCellMar>
            <w:top w:w="0" w:type="dxa"/>
            <w:left w:w="0" w:type="dxa"/>
            <w:bottom w:w="0" w:type="dxa"/>
            <w:right w:w="0" w:type="dxa"/>
          </w:tblCellMar>
        </w:tblPrEx>
        <w:trPr>
          <w:trHeight w:val="237"/>
        </w:trPr>
        <w:tc>
          <w:tcPr>
            <w:tcW w:w="1617" w:type="dxa"/>
          </w:tcPr>
          <w:p w:rsidR="000C1BB8" w:rsidRPr="000C1BB8" w:rsidRDefault="000C1BB8" w:rsidP="000C1BB8">
            <w:pPr>
              <w:kinsoku w:val="0"/>
              <w:overflowPunct w:val="0"/>
              <w:autoSpaceDE w:val="0"/>
              <w:autoSpaceDN w:val="0"/>
              <w:adjustRightInd w:val="0"/>
              <w:spacing w:after="0" w:line="218" w:lineRule="exact"/>
              <w:ind w:left="42"/>
              <w:rPr>
                <w:rFonts w:ascii="Calibri" w:hAnsi="Calibri" w:cs="Calibri"/>
                <w:color w:val="2E74B5"/>
                <w:w w:val="105"/>
                <w:sz w:val="20"/>
                <w:szCs w:val="20"/>
              </w:rPr>
            </w:pPr>
            <w:r w:rsidRPr="000C1BB8">
              <w:rPr>
                <w:rFonts w:ascii="Calibri" w:hAnsi="Calibri" w:cs="Calibri"/>
                <w:color w:val="2E74B5"/>
                <w:w w:val="105"/>
                <w:sz w:val="20"/>
                <w:szCs w:val="20"/>
              </w:rPr>
              <w:t>2016‐2017</w:t>
            </w:r>
          </w:p>
        </w:tc>
        <w:tc>
          <w:tcPr>
            <w:tcW w:w="1260" w:type="dxa"/>
          </w:tcPr>
          <w:p w:rsidR="000C1BB8" w:rsidRPr="000C1BB8" w:rsidRDefault="000C1BB8" w:rsidP="000C1BB8">
            <w:pPr>
              <w:kinsoku w:val="0"/>
              <w:overflowPunct w:val="0"/>
              <w:autoSpaceDE w:val="0"/>
              <w:autoSpaceDN w:val="0"/>
              <w:adjustRightInd w:val="0"/>
              <w:spacing w:after="0" w:line="218" w:lineRule="exact"/>
              <w:ind w:right="109"/>
              <w:jc w:val="right"/>
              <w:rPr>
                <w:rFonts w:ascii="Calibri" w:hAnsi="Calibri" w:cs="Calibri"/>
                <w:color w:val="2E74B5"/>
                <w:sz w:val="20"/>
                <w:szCs w:val="20"/>
              </w:rPr>
            </w:pPr>
            <w:r w:rsidRPr="000C1BB8">
              <w:rPr>
                <w:rFonts w:ascii="Calibri" w:hAnsi="Calibri" w:cs="Calibri"/>
                <w:color w:val="2E74B5"/>
                <w:sz w:val="20"/>
                <w:szCs w:val="20"/>
              </w:rPr>
              <w:t>22</w:t>
            </w:r>
          </w:p>
        </w:tc>
        <w:tc>
          <w:tcPr>
            <w:tcW w:w="1530" w:type="dxa"/>
          </w:tcPr>
          <w:p w:rsidR="000C1BB8" w:rsidRPr="000C1BB8" w:rsidRDefault="000C1BB8" w:rsidP="000C1BB8">
            <w:pPr>
              <w:kinsoku w:val="0"/>
              <w:overflowPunct w:val="0"/>
              <w:autoSpaceDE w:val="0"/>
              <w:autoSpaceDN w:val="0"/>
              <w:adjustRightInd w:val="0"/>
              <w:spacing w:after="0" w:line="218" w:lineRule="exact"/>
              <w:ind w:right="150"/>
              <w:jc w:val="right"/>
              <w:rPr>
                <w:rFonts w:ascii="Calibri" w:hAnsi="Calibri" w:cs="Calibri"/>
                <w:color w:val="2E74B5"/>
                <w:sz w:val="20"/>
                <w:szCs w:val="20"/>
              </w:rPr>
            </w:pPr>
            <w:r w:rsidRPr="000C1BB8">
              <w:rPr>
                <w:rFonts w:ascii="Calibri" w:hAnsi="Calibri" w:cs="Calibri"/>
                <w:color w:val="2E74B5"/>
                <w:sz w:val="20"/>
                <w:szCs w:val="20"/>
              </w:rPr>
              <w:t>21</w:t>
            </w:r>
          </w:p>
        </w:tc>
        <w:tc>
          <w:tcPr>
            <w:tcW w:w="990" w:type="dxa"/>
          </w:tcPr>
          <w:p w:rsidR="000C1BB8" w:rsidRPr="000C1BB8" w:rsidRDefault="000C1BB8" w:rsidP="000C1BB8">
            <w:pPr>
              <w:kinsoku w:val="0"/>
              <w:overflowPunct w:val="0"/>
              <w:autoSpaceDE w:val="0"/>
              <w:autoSpaceDN w:val="0"/>
              <w:adjustRightInd w:val="0"/>
              <w:spacing w:after="0" w:line="218" w:lineRule="exact"/>
              <w:ind w:right="6"/>
              <w:jc w:val="right"/>
              <w:rPr>
                <w:rFonts w:ascii="Calibri" w:hAnsi="Calibri" w:cs="Calibri"/>
                <w:color w:val="2E74B5"/>
                <w:sz w:val="20"/>
                <w:szCs w:val="20"/>
              </w:rPr>
            </w:pPr>
            <w:r w:rsidRPr="000C1BB8">
              <w:rPr>
                <w:rFonts w:ascii="Calibri" w:hAnsi="Calibri" w:cs="Calibri"/>
                <w:color w:val="2E74B5"/>
                <w:sz w:val="20"/>
                <w:szCs w:val="20"/>
              </w:rPr>
              <w:t>95%</w:t>
            </w:r>
          </w:p>
        </w:tc>
      </w:tr>
      <w:tr w:rsidR="000C1BB8" w:rsidRPr="000C1BB8" w:rsidTr="000C1BB8">
        <w:tblPrEx>
          <w:tblCellMar>
            <w:top w:w="0" w:type="dxa"/>
            <w:left w:w="0" w:type="dxa"/>
            <w:bottom w:w="0" w:type="dxa"/>
            <w:right w:w="0" w:type="dxa"/>
          </w:tblCellMar>
        </w:tblPrEx>
        <w:trPr>
          <w:trHeight w:val="248"/>
        </w:trPr>
        <w:tc>
          <w:tcPr>
            <w:tcW w:w="1617" w:type="dxa"/>
          </w:tcPr>
          <w:p w:rsidR="000C1BB8" w:rsidRPr="000C1BB8" w:rsidRDefault="000C1BB8" w:rsidP="000C1BB8">
            <w:pPr>
              <w:kinsoku w:val="0"/>
              <w:overflowPunct w:val="0"/>
              <w:autoSpaceDE w:val="0"/>
              <w:autoSpaceDN w:val="0"/>
              <w:adjustRightInd w:val="0"/>
              <w:spacing w:before="2" w:after="0" w:line="226" w:lineRule="exact"/>
              <w:ind w:left="52"/>
              <w:rPr>
                <w:rFonts w:ascii="Calibri" w:hAnsi="Calibri" w:cs="Calibri"/>
                <w:color w:val="2E74B5"/>
                <w:w w:val="105"/>
                <w:sz w:val="20"/>
                <w:szCs w:val="20"/>
              </w:rPr>
            </w:pPr>
            <w:r w:rsidRPr="000C1BB8">
              <w:rPr>
                <w:rFonts w:ascii="Calibri" w:hAnsi="Calibri" w:cs="Calibri"/>
                <w:color w:val="2E74B5"/>
                <w:w w:val="105"/>
                <w:sz w:val="20"/>
                <w:szCs w:val="20"/>
              </w:rPr>
              <w:t>2017‐2018</w:t>
            </w:r>
          </w:p>
        </w:tc>
        <w:tc>
          <w:tcPr>
            <w:tcW w:w="1260" w:type="dxa"/>
          </w:tcPr>
          <w:p w:rsidR="000C1BB8" w:rsidRPr="000C1BB8" w:rsidRDefault="000C1BB8" w:rsidP="000C1BB8">
            <w:pPr>
              <w:kinsoku w:val="0"/>
              <w:overflowPunct w:val="0"/>
              <w:autoSpaceDE w:val="0"/>
              <w:autoSpaceDN w:val="0"/>
              <w:adjustRightInd w:val="0"/>
              <w:spacing w:before="2" w:after="0" w:line="226" w:lineRule="exact"/>
              <w:ind w:right="109"/>
              <w:jc w:val="right"/>
              <w:rPr>
                <w:rFonts w:ascii="Calibri" w:hAnsi="Calibri" w:cs="Calibri"/>
                <w:color w:val="2E74B5"/>
                <w:sz w:val="20"/>
                <w:szCs w:val="20"/>
              </w:rPr>
            </w:pPr>
            <w:r w:rsidRPr="000C1BB8">
              <w:rPr>
                <w:rFonts w:ascii="Calibri" w:hAnsi="Calibri" w:cs="Calibri"/>
                <w:color w:val="2E74B5"/>
                <w:sz w:val="20"/>
                <w:szCs w:val="20"/>
              </w:rPr>
              <w:t>26</w:t>
            </w:r>
          </w:p>
        </w:tc>
        <w:tc>
          <w:tcPr>
            <w:tcW w:w="1530" w:type="dxa"/>
          </w:tcPr>
          <w:p w:rsidR="000C1BB8" w:rsidRPr="000C1BB8" w:rsidRDefault="000C1BB8" w:rsidP="000C1BB8">
            <w:pPr>
              <w:kinsoku w:val="0"/>
              <w:overflowPunct w:val="0"/>
              <w:autoSpaceDE w:val="0"/>
              <w:autoSpaceDN w:val="0"/>
              <w:adjustRightInd w:val="0"/>
              <w:spacing w:before="2" w:after="0" w:line="226" w:lineRule="exact"/>
              <w:ind w:right="150"/>
              <w:jc w:val="right"/>
              <w:rPr>
                <w:rFonts w:ascii="Calibri" w:hAnsi="Calibri" w:cs="Calibri"/>
                <w:color w:val="2E74B5"/>
                <w:sz w:val="20"/>
                <w:szCs w:val="20"/>
              </w:rPr>
            </w:pPr>
            <w:r w:rsidRPr="000C1BB8">
              <w:rPr>
                <w:rFonts w:ascii="Calibri" w:hAnsi="Calibri" w:cs="Calibri"/>
                <w:color w:val="2E74B5"/>
                <w:sz w:val="20"/>
                <w:szCs w:val="20"/>
              </w:rPr>
              <w:t>23</w:t>
            </w:r>
          </w:p>
        </w:tc>
        <w:tc>
          <w:tcPr>
            <w:tcW w:w="990" w:type="dxa"/>
          </w:tcPr>
          <w:p w:rsidR="000C1BB8" w:rsidRPr="000C1BB8" w:rsidRDefault="000C1BB8" w:rsidP="000C1BB8">
            <w:pPr>
              <w:kinsoku w:val="0"/>
              <w:overflowPunct w:val="0"/>
              <w:autoSpaceDE w:val="0"/>
              <w:autoSpaceDN w:val="0"/>
              <w:adjustRightInd w:val="0"/>
              <w:spacing w:before="2" w:after="0" w:line="226" w:lineRule="exact"/>
              <w:ind w:right="16"/>
              <w:jc w:val="right"/>
              <w:rPr>
                <w:rFonts w:ascii="Calibri" w:hAnsi="Calibri" w:cs="Calibri"/>
                <w:color w:val="2E74B5"/>
                <w:sz w:val="20"/>
                <w:szCs w:val="20"/>
              </w:rPr>
            </w:pPr>
            <w:r w:rsidRPr="000C1BB8">
              <w:rPr>
                <w:rFonts w:ascii="Calibri" w:hAnsi="Calibri" w:cs="Calibri"/>
                <w:color w:val="2E74B5"/>
                <w:sz w:val="20"/>
                <w:szCs w:val="20"/>
              </w:rPr>
              <w:t>88%</w:t>
            </w:r>
          </w:p>
        </w:tc>
      </w:tr>
      <w:tr w:rsidR="000C1BB8" w:rsidRPr="000C1BB8" w:rsidTr="000C1BB8">
        <w:tblPrEx>
          <w:tblCellMar>
            <w:top w:w="0" w:type="dxa"/>
            <w:left w:w="0" w:type="dxa"/>
            <w:bottom w:w="0" w:type="dxa"/>
            <w:right w:w="0" w:type="dxa"/>
          </w:tblCellMar>
        </w:tblPrEx>
        <w:trPr>
          <w:trHeight w:val="248"/>
        </w:trPr>
        <w:tc>
          <w:tcPr>
            <w:tcW w:w="1617" w:type="dxa"/>
          </w:tcPr>
          <w:p w:rsidR="000C1BB8" w:rsidRPr="000C1BB8" w:rsidRDefault="000C1BB8" w:rsidP="000C1BB8">
            <w:pPr>
              <w:kinsoku w:val="0"/>
              <w:overflowPunct w:val="0"/>
              <w:autoSpaceDE w:val="0"/>
              <w:autoSpaceDN w:val="0"/>
              <w:adjustRightInd w:val="0"/>
              <w:spacing w:before="2" w:after="0" w:line="226" w:lineRule="exact"/>
              <w:ind w:left="42"/>
              <w:rPr>
                <w:rFonts w:ascii="Calibri" w:hAnsi="Calibri" w:cs="Calibri"/>
                <w:color w:val="2E74B5"/>
                <w:w w:val="105"/>
                <w:sz w:val="20"/>
                <w:szCs w:val="20"/>
              </w:rPr>
            </w:pPr>
            <w:r w:rsidRPr="000C1BB8">
              <w:rPr>
                <w:rFonts w:ascii="Calibri" w:hAnsi="Calibri" w:cs="Calibri"/>
                <w:color w:val="2E74B5"/>
                <w:w w:val="105"/>
                <w:sz w:val="20"/>
                <w:szCs w:val="20"/>
              </w:rPr>
              <w:t>2018‐2019</w:t>
            </w:r>
          </w:p>
        </w:tc>
        <w:tc>
          <w:tcPr>
            <w:tcW w:w="1260" w:type="dxa"/>
          </w:tcPr>
          <w:p w:rsidR="000C1BB8" w:rsidRPr="000C1BB8" w:rsidRDefault="000C1BB8" w:rsidP="000C1BB8">
            <w:pPr>
              <w:kinsoku w:val="0"/>
              <w:overflowPunct w:val="0"/>
              <w:autoSpaceDE w:val="0"/>
              <w:autoSpaceDN w:val="0"/>
              <w:adjustRightInd w:val="0"/>
              <w:spacing w:before="2" w:after="0" w:line="226" w:lineRule="exact"/>
              <w:ind w:right="109"/>
              <w:jc w:val="right"/>
              <w:rPr>
                <w:rFonts w:ascii="Calibri" w:hAnsi="Calibri" w:cs="Calibri"/>
                <w:color w:val="2E74B5"/>
                <w:sz w:val="20"/>
                <w:szCs w:val="20"/>
              </w:rPr>
            </w:pPr>
            <w:r w:rsidRPr="000C1BB8">
              <w:rPr>
                <w:rFonts w:ascii="Calibri" w:hAnsi="Calibri" w:cs="Calibri"/>
                <w:color w:val="2E74B5"/>
                <w:sz w:val="20"/>
                <w:szCs w:val="20"/>
              </w:rPr>
              <w:t>34</w:t>
            </w:r>
          </w:p>
        </w:tc>
        <w:tc>
          <w:tcPr>
            <w:tcW w:w="1530" w:type="dxa"/>
          </w:tcPr>
          <w:p w:rsidR="000C1BB8" w:rsidRPr="000C1BB8" w:rsidRDefault="000C1BB8" w:rsidP="000C1BB8">
            <w:pPr>
              <w:kinsoku w:val="0"/>
              <w:overflowPunct w:val="0"/>
              <w:autoSpaceDE w:val="0"/>
              <w:autoSpaceDN w:val="0"/>
              <w:adjustRightInd w:val="0"/>
              <w:spacing w:before="2" w:after="0" w:line="226" w:lineRule="exact"/>
              <w:ind w:right="150"/>
              <w:jc w:val="right"/>
              <w:rPr>
                <w:rFonts w:ascii="Calibri" w:hAnsi="Calibri" w:cs="Calibri"/>
                <w:color w:val="2E74B5"/>
                <w:sz w:val="20"/>
                <w:szCs w:val="20"/>
              </w:rPr>
            </w:pPr>
            <w:r w:rsidRPr="000C1BB8">
              <w:rPr>
                <w:rFonts w:ascii="Calibri" w:hAnsi="Calibri" w:cs="Calibri"/>
                <w:color w:val="2E74B5"/>
                <w:sz w:val="20"/>
                <w:szCs w:val="20"/>
              </w:rPr>
              <w:t>33</w:t>
            </w:r>
          </w:p>
        </w:tc>
        <w:tc>
          <w:tcPr>
            <w:tcW w:w="990" w:type="dxa"/>
          </w:tcPr>
          <w:p w:rsidR="000C1BB8" w:rsidRPr="000C1BB8" w:rsidRDefault="000C1BB8" w:rsidP="000C1BB8">
            <w:pPr>
              <w:kinsoku w:val="0"/>
              <w:overflowPunct w:val="0"/>
              <w:autoSpaceDE w:val="0"/>
              <w:autoSpaceDN w:val="0"/>
              <w:adjustRightInd w:val="0"/>
              <w:spacing w:before="2" w:after="0" w:line="226" w:lineRule="exact"/>
              <w:ind w:right="6"/>
              <w:jc w:val="right"/>
              <w:rPr>
                <w:rFonts w:ascii="Calibri" w:hAnsi="Calibri" w:cs="Calibri"/>
                <w:color w:val="2E74B5"/>
                <w:sz w:val="20"/>
                <w:szCs w:val="20"/>
              </w:rPr>
            </w:pPr>
            <w:r w:rsidRPr="000C1BB8">
              <w:rPr>
                <w:rFonts w:ascii="Calibri" w:hAnsi="Calibri" w:cs="Calibri"/>
                <w:color w:val="2E74B5"/>
                <w:sz w:val="20"/>
                <w:szCs w:val="20"/>
              </w:rPr>
              <w:t>97%</w:t>
            </w:r>
          </w:p>
        </w:tc>
      </w:tr>
      <w:tr w:rsidR="000C1BB8" w:rsidRPr="000C1BB8" w:rsidTr="000C1BB8">
        <w:tblPrEx>
          <w:tblCellMar>
            <w:top w:w="0" w:type="dxa"/>
            <w:left w:w="0" w:type="dxa"/>
            <w:bottom w:w="0" w:type="dxa"/>
            <w:right w:w="0" w:type="dxa"/>
          </w:tblCellMar>
        </w:tblPrEx>
        <w:trPr>
          <w:trHeight w:val="259"/>
        </w:trPr>
        <w:tc>
          <w:tcPr>
            <w:tcW w:w="1617" w:type="dxa"/>
          </w:tcPr>
          <w:p w:rsidR="000C1BB8" w:rsidRPr="000C1BB8" w:rsidRDefault="000C1BB8" w:rsidP="000C1BB8">
            <w:pPr>
              <w:kinsoku w:val="0"/>
              <w:overflowPunct w:val="0"/>
              <w:autoSpaceDE w:val="0"/>
              <w:autoSpaceDN w:val="0"/>
              <w:adjustRightInd w:val="0"/>
              <w:spacing w:before="2" w:after="0" w:line="238" w:lineRule="exact"/>
              <w:ind w:left="52"/>
              <w:rPr>
                <w:rFonts w:ascii="Calibri" w:hAnsi="Calibri" w:cs="Calibri"/>
                <w:color w:val="2E74B5"/>
                <w:w w:val="105"/>
                <w:sz w:val="20"/>
                <w:szCs w:val="20"/>
              </w:rPr>
            </w:pPr>
            <w:r w:rsidRPr="000C1BB8">
              <w:rPr>
                <w:rFonts w:ascii="Calibri" w:hAnsi="Calibri" w:cs="Calibri"/>
                <w:color w:val="2E74B5"/>
                <w:w w:val="105"/>
                <w:sz w:val="20"/>
                <w:szCs w:val="20"/>
              </w:rPr>
              <w:t>2019‐2020</w:t>
            </w:r>
          </w:p>
        </w:tc>
        <w:tc>
          <w:tcPr>
            <w:tcW w:w="1260" w:type="dxa"/>
          </w:tcPr>
          <w:p w:rsidR="000C1BB8" w:rsidRPr="000C1BB8" w:rsidRDefault="000C1BB8" w:rsidP="000C1BB8">
            <w:pPr>
              <w:kinsoku w:val="0"/>
              <w:overflowPunct w:val="0"/>
              <w:autoSpaceDE w:val="0"/>
              <w:autoSpaceDN w:val="0"/>
              <w:adjustRightInd w:val="0"/>
              <w:spacing w:before="2" w:after="0" w:line="238" w:lineRule="exact"/>
              <w:ind w:right="109"/>
              <w:jc w:val="right"/>
              <w:rPr>
                <w:rFonts w:ascii="Calibri" w:hAnsi="Calibri" w:cs="Calibri"/>
                <w:color w:val="2E74B5"/>
                <w:sz w:val="20"/>
                <w:szCs w:val="20"/>
              </w:rPr>
            </w:pPr>
            <w:r w:rsidRPr="000C1BB8">
              <w:rPr>
                <w:rFonts w:ascii="Calibri" w:hAnsi="Calibri" w:cs="Calibri"/>
                <w:color w:val="2E74B5"/>
                <w:sz w:val="20"/>
                <w:szCs w:val="20"/>
              </w:rPr>
              <w:t>22</w:t>
            </w:r>
          </w:p>
        </w:tc>
        <w:tc>
          <w:tcPr>
            <w:tcW w:w="1530" w:type="dxa"/>
          </w:tcPr>
          <w:p w:rsidR="000C1BB8" w:rsidRPr="000C1BB8" w:rsidRDefault="000C1BB8" w:rsidP="000C1BB8">
            <w:pPr>
              <w:kinsoku w:val="0"/>
              <w:overflowPunct w:val="0"/>
              <w:autoSpaceDE w:val="0"/>
              <w:autoSpaceDN w:val="0"/>
              <w:adjustRightInd w:val="0"/>
              <w:spacing w:before="2" w:after="0" w:line="238" w:lineRule="exact"/>
              <w:ind w:right="150"/>
              <w:jc w:val="right"/>
              <w:rPr>
                <w:rFonts w:ascii="Calibri" w:hAnsi="Calibri" w:cs="Calibri"/>
                <w:color w:val="2E74B5"/>
                <w:sz w:val="20"/>
                <w:szCs w:val="20"/>
              </w:rPr>
            </w:pPr>
            <w:r w:rsidRPr="000C1BB8">
              <w:rPr>
                <w:rFonts w:ascii="Calibri" w:hAnsi="Calibri" w:cs="Calibri"/>
                <w:color w:val="2E74B5"/>
                <w:sz w:val="20"/>
                <w:szCs w:val="20"/>
              </w:rPr>
              <w:t>20</w:t>
            </w:r>
          </w:p>
        </w:tc>
        <w:tc>
          <w:tcPr>
            <w:tcW w:w="990" w:type="dxa"/>
          </w:tcPr>
          <w:p w:rsidR="000C1BB8" w:rsidRPr="000C1BB8" w:rsidRDefault="000C1BB8" w:rsidP="000C1BB8">
            <w:pPr>
              <w:kinsoku w:val="0"/>
              <w:overflowPunct w:val="0"/>
              <w:autoSpaceDE w:val="0"/>
              <w:autoSpaceDN w:val="0"/>
              <w:adjustRightInd w:val="0"/>
              <w:spacing w:before="2" w:after="0" w:line="238" w:lineRule="exact"/>
              <w:ind w:right="16"/>
              <w:jc w:val="right"/>
              <w:rPr>
                <w:rFonts w:ascii="Calibri" w:hAnsi="Calibri" w:cs="Calibri"/>
                <w:color w:val="2E74B5"/>
                <w:sz w:val="20"/>
                <w:szCs w:val="20"/>
              </w:rPr>
            </w:pPr>
            <w:r w:rsidRPr="000C1BB8">
              <w:rPr>
                <w:rFonts w:ascii="Calibri" w:hAnsi="Calibri" w:cs="Calibri"/>
                <w:color w:val="2E74B5"/>
                <w:sz w:val="20"/>
                <w:szCs w:val="20"/>
              </w:rPr>
              <w:t>91%</w:t>
            </w:r>
          </w:p>
        </w:tc>
      </w:tr>
    </w:tbl>
    <w:p w:rsidR="000C1BB8" w:rsidRPr="000C1BB8" w:rsidRDefault="000C1BB8" w:rsidP="000C1BB8">
      <w:pPr>
        <w:kinsoku w:val="0"/>
        <w:overflowPunct w:val="0"/>
        <w:autoSpaceDE w:val="0"/>
        <w:autoSpaceDN w:val="0"/>
        <w:adjustRightInd w:val="0"/>
        <w:spacing w:before="25" w:after="0" w:line="264" w:lineRule="auto"/>
        <w:ind w:left="40" w:right="533" w:hanging="1"/>
        <w:jc w:val="both"/>
        <w:rPr>
          <w:rFonts w:ascii="Calibri" w:hAnsi="Calibri" w:cs="Calibri"/>
          <w:w w:val="105"/>
          <w:sz w:val="20"/>
          <w:szCs w:val="20"/>
        </w:rPr>
      </w:pPr>
      <w:r w:rsidRPr="000C1BB8">
        <w:rPr>
          <w:rFonts w:ascii="Calibri" w:hAnsi="Calibri" w:cs="Calibri"/>
          <w:w w:val="105"/>
          <w:sz w:val="20"/>
          <w:szCs w:val="20"/>
        </w:rPr>
        <w:t>Our initial programs (Elementary &amp; Secondary Education) are 13-month cohort‐based programs. Our most recent program completers matriculated in 2019‐20 and were recommended for licensure in summer 2020. Candidates with an active or inactive status after 13 months are allowed up to 5 years to complete.</w:t>
      </w:r>
    </w:p>
    <w:p w:rsidR="000C1BB8" w:rsidRPr="000C1BB8" w:rsidRDefault="000C1BB8" w:rsidP="000C1BB8">
      <w:pPr>
        <w:kinsoku w:val="0"/>
        <w:overflowPunct w:val="0"/>
        <w:autoSpaceDE w:val="0"/>
        <w:autoSpaceDN w:val="0"/>
        <w:adjustRightInd w:val="0"/>
        <w:spacing w:before="1" w:after="0" w:line="240" w:lineRule="auto"/>
        <w:rPr>
          <w:rFonts w:ascii="Calibri" w:hAnsi="Calibri" w:cs="Calibri"/>
        </w:rPr>
      </w:pPr>
    </w:p>
    <w:p w:rsidR="000C1BB8" w:rsidRPr="000C1BB8" w:rsidRDefault="000C1BB8" w:rsidP="000C1BB8">
      <w:pPr>
        <w:kinsoku w:val="0"/>
        <w:overflowPunct w:val="0"/>
        <w:autoSpaceDE w:val="0"/>
        <w:autoSpaceDN w:val="0"/>
        <w:adjustRightInd w:val="0"/>
        <w:spacing w:after="0" w:line="264" w:lineRule="auto"/>
        <w:ind w:left="40" w:right="64"/>
        <w:rPr>
          <w:rFonts w:ascii="Calibri" w:hAnsi="Calibri" w:cs="Calibri"/>
          <w:w w:val="105"/>
          <w:sz w:val="20"/>
          <w:szCs w:val="20"/>
        </w:rPr>
      </w:pPr>
      <w:r w:rsidRPr="000C1BB8">
        <w:rPr>
          <w:rFonts w:ascii="Calibri" w:hAnsi="Calibri" w:cs="Calibri"/>
          <w:w w:val="105"/>
          <w:sz w:val="20"/>
          <w:szCs w:val="20"/>
        </w:rPr>
        <w:t>In Oregon, program completion is statutorily defined as recommendation for licensure. EPP‐recommended candidates have met all requirements for licensure, but not all program completers are ultimately licensed. (e.g. candidates who get jobs out‐of‐state may not need to file their Oregon licensure paperwork).</w:t>
      </w:r>
    </w:p>
    <w:p w:rsidR="000C1BB8" w:rsidRPr="000C1BB8" w:rsidRDefault="000C1BB8" w:rsidP="000C1BB8">
      <w:pPr>
        <w:kinsoku w:val="0"/>
        <w:overflowPunct w:val="0"/>
        <w:autoSpaceDE w:val="0"/>
        <w:autoSpaceDN w:val="0"/>
        <w:adjustRightInd w:val="0"/>
        <w:spacing w:before="61" w:after="0" w:line="240" w:lineRule="auto"/>
        <w:ind w:left="40"/>
        <w:rPr>
          <w:rFonts w:ascii="Calibri" w:hAnsi="Calibri" w:cs="Calibri"/>
          <w:w w:val="105"/>
          <w:sz w:val="20"/>
          <w:szCs w:val="20"/>
        </w:rPr>
      </w:pPr>
      <w:r w:rsidRPr="000C1BB8">
        <w:rPr>
          <w:rFonts w:ascii="Calibri" w:hAnsi="Calibri" w:cs="Calibri"/>
          <w:w w:val="105"/>
          <w:sz w:val="20"/>
          <w:szCs w:val="20"/>
          <w:u w:val="single" w:color="000000"/>
        </w:rPr>
        <w:t>Trends</w:t>
      </w:r>
    </w:p>
    <w:p w:rsidR="000C1BB8" w:rsidRPr="000C1BB8" w:rsidRDefault="000C1BB8" w:rsidP="000C1BB8">
      <w:pPr>
        <w:kinsoku w:val="0"/>
        <w:overflowPunct w:val="0"/>
        <w:autoSpaceDE w:val="0"/>
        <w:autoSpaceDN w:val="0"/>
        <w:adjustRightInd w:val="0"/>
        <w:spacing w:after="0" w:line="240" w:lineRule="auto"/>
        <w:ind w:left="39"/>
        <w:rPr>
          <w:rFonts w:ascii="Calibri" w:hAnsi="Calibri" w:cs="Calibri"/>
          <w:w w:val="105"/>
          <w:sz w:val="20"/>
          <w:szCs w:val="20"/>
        </w:rPr>
      </w:pPr>
      <w:r w:rsidRPr="000C1BB8">
        <w:rPr>
          <w:rFonts w:ascii="Calibri" w:hAnsi="Calibri" w:cs="Calibri"/>
          <w:w w:val="105"/>
          <w:sz w:val="20"/>
          <w:szCs w:val="20"/>
        </w:rPr>
        <w:t>After expected time to degree, licensure rate in our Elementary program has been consistently high over time.</w:t>
      </w:r>
    </w:p>
    <w:p w:rsidR="000C1BB8" w:rsidRPr="000C1BB8" w:rsidRDefault="000C1BB8" w:rsidP="000C1BB8">
      <w:pPr>
        <w:kinsoku w:val="0"/>
        <w:overflowPunct w:val="0"/>
        <w:autoSpaceDE w:val="0"/>
        <w:autoSpaceDN w:val="0"/>
        <w:adjustRightInd w:val="0"/>
        <w:spacing w:before="1" w:after="0" w:line="240" w:lineRule="auto"/>
        <w:rPr>
          <w:rFonts w:ascii="Times New Roman" w:hAnsi="Times New Roman" w:cs="Times New Roman"/>
          <w:sz w:val="8"/>
          <w:szCs w:val="8"/>
        </w:rPr>
      </w:pPr>
    </w:p>
    <w:p w:rsidR="00DC76F6" w:rsidRDefault="00DC76F6"/>
    <w:p w:rsidR="000C1BB8" w:rsidRPr="000C1BB8" w:rsidRDefault="000C1BB8" w:rsidP="000C1BB8">
      <w:pPr>
        <w:kinsoku w:val="0"/>
        <w:overflowPunct w:val="0"/>
        <w:autoSpaceDE w:val="0"/>
        <w:autoSpaceDN w:val="0"/>
        <w:adjustRightInd w:val="0"/>
        <w:spacing w:after="0" w:line="209" w:lineRule="exact"/>
        <w:ind w:left="40"/>
        <w:outlineLvl w:val="0"/>
        <w:rPr>
          <w:rFonts w:ascii="Calibri" w:hAnsi="Calibri" w:cs="Calibri"/>
          <w:b/>
          <w:bCs/>
          <w:w w:val="105"/>
          <w:sz w:val="20"/>
          <w:szCs w:val="20"/>
        </w:rPr>
      </w:pPr>
      <w:r w:rsidRPr="000C1BB8">
        <w:rPr>
          <w:rFonts w:ascii="Calibri" w:hAnsi="Calibri" w:cs="Calibri"/>
          <w:b/>
          <w:bCs/>
          <w:w w:val="105"/>
          <w:sz w:val="20"/>
          <w:szCs w:val="20"/>
        </w:rPr>
        <w:t>Secondary Licensure Rate</w:t>
      </w:r>
    </w:p>
    <w:p w:rsidR="000C1BB8" w:rsidRPr="000C1BB8" w:rsidRDefault="000C1BB8" w:rsidP="000C1BB8">
      <w:pPr>
        <w:kinsoku w:val="0"/>
        <w:overflowPunct w:val="0"/>
        <w:autoSpaceDE w:val="0"/>
        <w:autoSpaceDN w:val="0"/>
        <w:adjustRightInd w:val="0"/>
        <w:spacing w:after="0" w:line="240" w:lineRule="auto"/>
        <w:ind w:left="40"/>
        <w:jc w:val="both"/>
        <w:rPr>
          <w:rFonts w:ascii="Calibri" w:hAnsi="Calibri" w:cs="Calibri"/>
          <w:b/>
          <w:bCs/>
          <w:w w:val="105"/>
          <w:sz w:val="20"/>
          <w:szCs w:val="20"/>
        </w:rPr>
      </w:pPr>
      <w:r w:rsidRPr="000C1BB8">
        <w:rPr>
          <w:rFonts w:ascii="Calibri" w:hAnsi="Calibri" w:cs="Calibri"/>
          <w:b/>
          <w:bCs/>
          <w:w w:val="105"/>
          <w:sz w:val="20"/>
          <w:szCs w:val="20"/>
        </w:rPr>
        <w:t>Matriculation AY's 2016‐17 through 2019‐20</w:t>
      </w:r>
    </w:p>
    <w:p w:rsidR="000C1BB8" w:rsidRPr="000C1BB8" w:rsidRDefault="000C1BB8" w:rsidP="000C1BB8">
      <w:pPr>
        <w:kinsoku w:val="0"/>
        <w:overflowPunct w:val="0"/>
        <w:autoSpaceDE w:val="0"/>
        <w:autoSpaceDN w:val="0"/>
        <w:adjustRightInd w:val="0"/>
        <w:spacing w:after="0" w:line="240" w:lineRule="auto"/>
        <w:rPr>
          <w:rFonts w:ascii="Calibri" w:hAnsi="Calibri" w:cs="Calibri"/>
          <w:b/>
          <w:bCs/>
          <w:sz w:val="24"/>
          <w:szCs w:val="24"/>
        </w:rPr>
      </w:pPr>
    </w:p>
    <w:p w:rsidR="000C1BB8" w:rsidRPr="000C1BB8" w:rsidRDefault="000C1BB8" w:rsidP="000C1BB8">
      <w:pPr>
        <w:kinsoku w:val="0"/>
        <w:overflowPunct w:val="0"/>
        <w:autoSpaceDE w:val="0"/>
        <w:autoSpaceDN w:val="0"/>
        <w:adjustRightInd w:val="0"/>
        <w:spacing w:after="0" w:line="240" w:lineRule="auto"/>
        <w:ind w:left="40"/>
        <w:jc w:val="both"/>
        <w:rPr>
          <w:rFonts w:ascii="Calibri" w:hAnsi="Calibri" w:cs="Calibri"/>
          <w:w w:val="105"/>
          <w:sz w:val="20"/>
          <w:szCs w:val="20"/>
        </w:rPr>
      </w:pPr>
      <w:r w:rsidRPr="000C1BB8">
        <w:rPr>
          <w:rFonts w:ascii="Calibri" w:hAnsi="Calibri" w:cs="Calibri"/>
          <w:w w:val="105"/>
          <w:sz w:val="20"/>
          <w:szCs w:val="20"/>
          <w:u w:val="single" w:color="000000"/>
        </w:rPr>
        <w:t>Data Notes</w:t>
      </w:r>
    </w:p>
    <w:tbl>
      <w:tblPr>
        <w:tblpPr w:leftFromText="180" w:rightFromText="180" w:vertAnchor="text" w:horzAnchor="margin" w:tblpXSpec="right" w:tblpY="134"/>
        <w:tblW w:w="0" w:type="auto"/>
        <w:tblBorders>
          <w:top w:val="single" w:sz="2" w:space="0" w:color="5A9BD5"/>
          <w:left w:val="single" w:sz="2" w:space="0" w:color="5A9BD5"/>
          <w:bottom w:val="single" w:sz="2" w:space="0" w:color="5A9BD5"/>
          <w:right w:val="single" w:sz="2" w:space="0" w:color="5A9BD5"/>
          <w:insideH w:val="single" w:sz="2" w:space="0" w:color="5A9BD5"/>
          <w:insideV w:val="single" w:sz="2" w:space="0" w:color="5A9BD5"/>
        </w:tblBorders>
        <w:tblLayout w:type="fixed"/>
        <w:tblCellMar>
          <w:left w:w="0" w:type="dxa"/>
          <w:right w:w="0" w:type="dxa"/>
        </w:tblCellMar>
        <w:tblLook w:val="0000" w:firstRow="0" w:lastRow="0" w:firstColumn="0" w:lastColumn="0" w:noHBand="0" w:noVBand="0"/>
      </w:tblPr>
      <w:tblGrid>
        <w:gridCol w:w="1617"/>
        <w:gridCol w:w="1260"/>
        <w:gridCol w:w="1533"/>
        <w:gridCol w:w="990"/>
      </w:tblGrid>
      <w:tr w:rsidR="000C1BB8" w:rsidRPr="000C1BB8" w:rsidTr="000C1BB8">
        <w:tblPrEx>
          <w:tblCellMar>
            <w:top w:w="0" w:type="dxa"/>
            <w:left w:w="0" w:type="dxa"/>
            <w:bottom w:w="0" w:type="dxa"/>
            <w:right w:w="0" w:type="dxa"/>
          </w:tblCellMar>
        </w:tblPrEx>
        <w:trPr>
          <w:trHeight w:val="223"/>
        </w:trPr>
        <w:tc>
          <w:tcPr>
            <w:tcW w:w="1617" w:type="dxa"/>
          </w:tcPr>
          <w:p w:rsidR="000C1BB8" w:rsidRPr="000C1BB8" w:rsidRDefault="000C1BB8" w:rsidP="000C1BB8">
            <w:pPr>
              <w:kinsoku w:val="0"/>
              <w:overflowPunct w:val="0"/>
              <w:autoSpaceDE w:val="0"/>
              <w:autoSpaceDN w:val="0"/>
              <w:adjustRightInd w:val="0"/>
              <w:spacing w:after="0" w:line="204" w:lineRule="exact"/>
              <w:ind w:left="29"/>
              <w:rPr>
                <w:rFonts w:ascii="Calibri" w:hAnsi="Calibri" w:cs="Calibri"/>
                <w:b/>
                <w:bCs/>
                <w:w w:val="105"/>
                <w:sz w:val="20"/>
                <w:szCs w:val="20"/>
              </w:rPr>
            </w:pPr>
            <w:r w:rsidRPr="000C1BB8">
              <w:rPr>
                <w:rFonts w:ascii="Calibri" w:hAnsi="Calibri" w:cs="Calibri"/>
                <w:b/>
                <w:bCs/>
                <w:w w:val="105"/>
                <w:sz w:val="20"/>
                <w:szCs w:val="20"/>
              </w:rPr>
              <w:t>Matriculation AY</w:t>
            </w:r>
          </w:p>
        </w:tc>
        <w:tc>
          <w:tcPr>
            <w:tcW w:w="1260" w:type="dxa"/>
          </w:tcPr>
          <w:p w:rsidR="000C1BB8" w:rsidRPr="000C1BB8" w:rsidRDefault="000C1BB8" w:rsidP="000C1BB8">
            <w:pPr>
              <w:kinsoku w:val="0"/>
              <w:overflowPunct w:val="0"/>
              <w:autoSpaceDE w:val="0"/>
              <w:autoSpaceDN w:val="0"/>
              <w:adjustRightInd w:val="0"/>
              <w:spacing w:after="0" w:line="204" w:lineRule="exact"/>
              <w:ind w:right="105"/>
              <w:jc w:val="right"/>
              <w:rPr>
                <w:rFonts w:ascii="Calibri" w:hAnsi="Calibri" w:cs="Calibri"/>
                <w:b/>
                <w:bCs/>
                <w:sz w:val="20"/>
                <w:szCs w:val="20"/>
              </w:rPr>
            </w:pPr>
            <w:r w:rsidRPr="000C1BB8">
              <w:rPr>
                <w:rFonts w:ascii="Calibri" w:hAnsi="Calibri" w:cs="Calibri"/>
                <w:b/>
                <w:bCs/>
                <w:sz w:val="20"/>
                <w:szCs w:val="20"/>
              </w:rPr>
              <w:t>Matriculated</w:t>
            </w:r>
          </w:p>
        </w:tc>
        <w:tc>
          <w:tcPr>
            <w:tcW w:w="1533" w:type="dxa"/>
          </w:tcPr>
          <w:p w:rsidR="000C1BB8" w:rsidRPr="000C1BB8" w:rsidRDefault="000C1BB8" w:rsidP="000C1BB8">
            <w:pPr>
              <w:kinsoku w:val="0"/>
              <w:overflowPunct w:val="0"/>
              <w:autoSpaceDE w:val="0"/>
              <w:autoSpaceDN w:val="0"/>
              <w:adjustRightInd w:val="0"/>
              <w:spacing w:after="0" w:line="204" w:lineRule="exact"/>
              <w:ind w:right="143"/>
              <w:jc w:val="right"/>
              <w:rPr>
                <w:rFonts w:ascii="Calibri" w:hAnsi="Calibri" w:cs="Calibri"/>
                <w:b/>
                <w:bCs/>
                <w:sz w:val="20"/>
                <w:szCs w:val="20"/>
              </w:rPr>
            </w:pPr>
            <w:r w:rsidRPr="000C1BB8">
              <w:rPr>
                <w:rFonts w:ascii="Calibri" w:hAnsi="Calibri" w:cs="Calibri"/>
                <w:b/>
                <w:bCs/>
                <w:sz w:val="20"/>
                <w:szCs w:val="20"/>
              </w:rPr>
              <w:t>Recommended</w:t>
            </w:r>
          </w:p>
        </w:tc>
        <w:tc>
          <w:tcPr>
            <w:tcW w:w="990" w:type="dxa"/>
          </w:tcPr>
          <w:p w:rsidR="000C1BB8" w:rsidRPr="000C1BB8" w:rsidRDefault="000C1BB8" w:rsidP="000C1BB8">
            <w:pPr>
              <w:kinsoku w:val="0"/>
              <w:overflowPunct w:val="0"/>
              <w:autoSpaceDE w:val="0"/>
              <w:autoSpaceDN w:val="0"/>
              <w:adjustRightInd w:val="0"/>
              <w:spacing w:after="0" w:line="204" w:lineRule="exact"/>
              <w:ind w:right="-15"/>
              <w:jc w:val="center"/>
              <w:rPr>
                <w:rFonts w:ascii="Calibri" w:hAnsi="Calibri" w:cs="Calibri"/>
                <w:b/>
                <w:bCs/>
                <w:sz w:val="20"/>
                <w:szCs w:val="20"/>
              </w:rPr>
            </w:pPr>
            <w:proofErr w:type="spellStart"/>
            <w:r w:rsidRPr="000C1BB8">
              <w:rPr>
                <w:rFonts w:ascii="Calibri" w:hAnsi="Calibri" w:cs="Calibri"/>
                <w:b/>
                <w:bCs/>
                <w:sz w:val="20"/>
                <w:szCs w:val="20"/>
              </w:rPr>
              <w:t>RecRate</w:t>
            </w:r>
            <w:proofErr w:type="spellEnd"/>
          </w:p>
        </w:tc>
      </w:tr>
      <w:tr w:rsidR="000C1BB8" w:rsidRPr="000C1BB8" w:rsidTr="000C1BB8">
        <w:tblPrEx>
          <w:tblCellMar>
            <w:top w:w="0" w:type="dxa"/>
            <w:left w:w="0" w:type="dxa"/>
            <w:bottom w:w="0" w:type="dxa"/>
            <w:right w:w="0" w:type="dxa"/>
          </w:tblCellMar>
        </w:tblPrEx>
        <w:trPr>
          <w:trHeight w:val="237"/>
        </w:trPr>
        <w:tc>
          <w:tcPr>
            <w:tcW w:w="1617" w:type="dxa"/>
          </w:tcPr>
          <w:p w:rsidR="000C1BB8" w:rsidRPr="000C1BB8" w:rsidRDefault="000C1BB8" w:rsidP="000C1BB8">
            <w:pPr>
              <w:kinsoku w:val="0"/>
              <w:overflowPunct w:val="0"/>
              <w:autoSpaceDE w:val="0"/>
              <w:autoSpaceDN w:val="0"/>
              <w:adjustRightInd w:val="0"/>
              <w:spacing w:after="0" w:line="218" w:lineRule="exact"/>
              <w:ind w:left="42"/>
              <w:rPr>
                <w:rFonts w:ascii="Calibri" w:hAnsi="Calibri" w:cs="Calibri"/>
                <w:color w:val="2E74B5"/>
                <w:w w:val="105"/>
                <w:sz w:val="20"/>
                <w:szCs w:val="20"/>
              </w:rPr>
            </w:pPr>
            <w:r w:rsidRPr="000C1BB8">
              <w:rPr>
                <w:rFonts w:ascii="Calibri" w:hAnsi="Calibri" w:cs="Calibri"/>
                <w:color w:val="2E74B5"/>
                <w:w w:val="105"/>
                <w:sz w:val="20"/>
                <w:szCs w:val="20"/>
              </w:rPr>
              <w:t>2016‐2017</w:t>
            </w:r>
          </w:p>
        </w:tc>
        <w:tc>
          <w:tcPr>
            <w:tcW w:w="1260" w:type="dxa"/>
          </w:tcPr>
          <w:p w:rsidR="000C1BB8" w:rsidRPr="000C1BB8" w:rsidRDefault="000C1BB8" w:rsidP="000C1BB8">
            <w:pPr>
              <w:kinsoku w:val="0"/>
              <w:overflowPunct w:val="0"/>
              <w:autoSpaceDE w:val="0"/>
              <w:autoSpaceDN w:val="0"/>
              <w:adjustRightInd w:val="0"/>
              <w:spacing w:after="0" w:line="218" w:lineRule="exact"/>
              <w:ind w:right="109"/>
              <w:jc w:val="right"/>
              <w:rPr>
                <w:rFonts w:ascii="Calibri" w:hAnsi="Calibri" w:cs="Calibri"/>
                <w:color w:val="2E74B5"/>
                <w:sz w:val="20"/>
                <w:szCs w:val="20"/>
              </w:rPr>
            </w:pPr>
            <w:r w:rsidRPr="000C1BB8">
              <w:rPr>
                <w:rFonts w:ascii="Calibri" w:hAnsi="Calibri" w:cs="Calibri"/>
                <w:color w:val="2E74B5"/>
                <w:sz w:val="20"/>
                <w:szCs w:val="20"/>
              </w:rPr>
              <w:t>52</w:t>
            </w:r>
          </w:p>
        </w:tc>
        <w:tc>
          <w:tcPr>
            <w:tcW w:w="1533" w:type="dxa"/>
          </w:tcPr>
          <w:p w:rsidR="000C1BB8" w:rsidRPr="000C1BB8" w:rsidRDefault="000C1BB8" w:rsidP="000C1BB8">
            <w:pPr>
              <w:kinsoku w:val="0"/>
              <w:overflowPunct w:val="0"/>
              <w:autoSpaceDE w:val="0"/>
              <w:autoSpaceDN w:val="0"/>
              <w:adjustRightInd w:val="0"/>
              <w:spacing w:after="0" w:line="218" w:lineRule="exact"/>
              <w:ind w:right="150"/>
              <w:jc w:val="right"/>
              <w:rPr>
                <w:rFonts w:ascii="Calibri" w:hAnsi="Calibri" w:cs="Calibri"/>
                <w:color w:val="2E74B5"/>
                <w:sz w:val="20"/>
                <w:szCs w:val="20"/>
              </w:rPr>
            </w:pPr>
            <w:r w:rsidRPr="000C1BB8">
              <w:rPr>
                <w:rFonts w:ascii="Calibri" w:hAnsi="Calibri" w:cs="Calibri"/>
                <w:color w:val="2E74B5"/>
                <w:sz w:val="20"/>
                <w:szCs w:val="20"/>
              </w:rPr>
              <w:t>49</w:t>
            </w:r>
          </w:p>
        </w:tc>
        <w:tc>
          <w:tcPr>
            <w:tcW w:w="990" w:type="dxa"/>
          </w:tcPr>
          <w:p w:rsidR="000C1BB8" w:rsidRPr="000C1BB8" w:rsidRDefault="000C1BB8" w:rsidP="000C1BB8">
            <w:pPr>
              <w:kinsoku w:val="0"/>
              <w:overflowPunct w:val="0"/>
              <w:autoSpaceDE w:val="0"/>
              <w:autoSpaceDN w:val="0"/>
              <w:adjustRightInd w:val="0"/>
              <w:spacing w:after="0" w:line="218" w:lineRule="exact"/>
              <w:ind w:right="6"/>
              <w:jc w:val="right"/>
              <w:rPr>
                <w:rFonts w:ascii="Calibri" w:hAnsi="Calibri" w:cs="Calibri"/>
                <w:color w:val="2E74B5"/>
                <w:sz w:val="20"/>
                <w:szCs w:val="20"/>
              </w:rPr>
            </w:pPr>
            <w:r w:rsidRPr="000C1BB8">
              <w:rPr>
                <w:rFonts w:ascii="Calibri" w:hAnsi="Calibri" w:cs="Calibri"/>
                <w:color w:val="2E74B5"/>
                <w:sz w:val="20"/>
                <w:szCs w:val="20"/>
              </w:rPr>
              <w:t>94%</w:t>
            </w:r>
          </w:p>
        </w:tc>
      </w:tr>
      <w:tr w:rsidR="000C1BB8" w:rsidRPr="000C1BB8" w:rsidTr="000C1BB8">
        <w:tblPrEx>
          <w:tblCellMar>
            <w:top w:w="0" w:type="dxa"/>
            <w:left w:w="0" w:type="dxa"/>
            <w:bottom w:w="0" w:type="dxa"/>
            <w:right w:w="0" w:type="dxa"/>
          </w:tblCellMar>
        </w:tblPrEx>
        <w:trPr>
          <w:trHeight w:val="248"/>
        </w:trPr>
        <w:tc>
          <w:tcPr>
            <w:tcW w:w="1617" w:type="dxa"/>
          </w:tcPr>
          <w:p w:rsidR="000C1BB8" w:rsidRPr="000C1BB8" w:rsidRDefault="000C1BB8" w:rsidP="000C1BB8">
            <w:pPr>
              <w:kinsoku w:val="0"/>
              <w:overflowPunct w:val="0"/>
              <w:autoSpaceDE w:val="0"/>
              <w:autoSpaceDN w:val="0"/>
              <w:adjustRightInd w:val="0"/>
              <w:spacing w:before="2" w:after="0" w:line="226" w:lineRule="exact"/>
              <w:ind w:left="52"/>
              <w:rPr>
                <w:rFonts w:ascii="Calibri" w:hAnsi="Calibri" w:cs="Calibri"/>
                <w:color w:val="2E74B5"/>
                <w:w w:val="105"/>
                <w:sz w:val="20"/>
                <w:szCs w:val="20"/>
              </w:rPr>
            </w:pPr>
            <w:r w:rsidRPr="000C1BB8">
              <w:rPr>
                <w:rFonts w:ascii="Calibri" w:hAnsi="Calibri" w:cs="Calibri"/>
                <w:color w:val="2E74B5"/>
                <w:w w:val="105"/>
                <w:sz w:val="20"/>
                <w:szCs w:val="20"/>
              </w:rPr>
              <w:t>2017‐2018</w:t>
            </w:r>
          </w:p>
        </w:tc>
        <w:tc>
          <w:tcPr>
            <w:tcW w:w="1260" w:type="dxa"/>
          </w:tcPr>
          <w:p w:rsidR="000C1BB8" w:rsidRPr="000C1BB8" w:rsidRDefault="000C1BB8" w:rsidP="000C1BB8">
            <w:pPr>
              <w:kinsoku w:val="0"/>
              <w:overflowPunct w:val="0"/>
              <w:autoSpaceDE w:val="0"/>
              <w:autoSpaceDN w:val="0"/>
              <w:adjustRightInd w:val="0"/>
              <w:spacing w:before="2" w:after="0" w:line="226" w:lineRule="exact"/>
              <w:ind w:right="109"/>
              <w:jc w:val="right"/>
              <w:rPr>
                <w:rFonts w:ascii="Calibri" w:hAnsi="Calibri" w:cs="Calibri"/>
                <w:color w:val="2E74B5"/>
                <w:sz w:val="20"/>
                <w:szCs w:val="20"/>
              </w:rPr>
            </w:pPr>
            <w:r w:rsidRPr="000C1BB8">
              <w:rPr>
                <w:rFonts w:ascii="Calibri" w:hAnsi="Calibri" w:cs="Calibri"/>
                <w:color w:val="2E74B5"/>
                <w:sz w:val="20"/>
                <w:szCs w:val="20"/>
              </w:rPr>
              <w:t>41</w:t>
            </w:r>
          </w:p>
        </w:tc>
        <w:tc>
          <w:tcPr>
            <w:tcW w:w="1533" w:type="dxa"/>
          </w:tcPr>
          <w:p w:rsidR="000C1BB8" w:rsidRPr="000C1BB8" w:rsidRDefault="000C1BB8" w:rsidP="000C1BB8">
            <w:pPr>
              <w:kinsoku w:val="0"/>
              <w:overflowPunct w:val="0"/>
              <w:autoSpaceDE w:val="0"/>
              <w:autoSpaceDN w:val="0"/>
              <w:adjustRightInd w:val="0"/>
              <w:spacing w:before="2" w:after="0" w:line="226" w:lineRule="exact"/>
              <w:ind w:right="150"/>
              <w:jc w:val="right"/>
              <w:rPr>
                <w:rFonts w:ascii="Calibri" w:hAnsi="Calibri" w:cs="Calibri"/>
                <w:color w:val="2E74B5"/>
                <w:sz w:val="20"/>
                <w:szCs w:val="20"/>
              </w:rPr>
            </w:pPr>
            <w:r w:rsidRPr="000C1BB8">
              <w:rPr>
                <w:rFonts w:ascii="Calibri" w:hAnsi="Calibri" w:cs="Calibri"/>
                <w:color w:val="2E74B5"/>
                <w:sz w:val="20"/>
                <w:szCs w:val="20"/>
              </w:rPr>
              <w:t>39</w:t>
            </w:r>
          </w:p>
        </w:tc>
        <w:tc>
          <w:tcPr>
            <w:tcW w:w="990" w:type="dxa"/>
          </w:tcPr>
          <w:p w:rsidR="000C1BB8" w:rsidRPr="000C1BB8" w:rsidRDefault="000C1BB8" w:rsidP="000C1BB8">
            <w:pPr>
              <w:kinsoku w:val="0"/>
              <w:overflowPunct w:val="0"/>
              <w:autoSpaceDE w:val="0"/>
              <w:autoSpaceDN w:val="0"/>
              <w:adjustRightInd w:val="0"/>
              <w:spacing w:before="2" w:after="0" w:line="226" w:lineRule="exact"/>
              <w:ind w:right="16"/>
              <w:jc w:val="right"/>
              <w:rPr>
                <w:rFonts w:ascii="Calibri" w:hAnsi="Calibri" w:cs="Calibri"/>
                <w:color w:val="2E74B5"/>
                <w:sz w:val="20"/>
                <w:szCs w:val="20"/>
              </w:rPr>
            </w:pPr>
            <w:r w:rsidRPr="000C1BB8">
              <w:rPr>
                <w:rFonts w:ascii="Calibri" w:hAnsi="Calibri" w:cs="Calibri"/>
                <w:color w:val="2E74B5"/>
                <w:sz w:val="20"/>
                <w:szCs w:val="20"/>
              </w:rPr>
              <w:t>95%</w:t>
            </w:r>
          </w:p>
        </w:tc>
      </w:tr>
      <w:tr w:rsidR="000C1BB8" w:rsidRPr="000C1BB8" w:rsidTr="000C1BB8">
        <w:tblPrEx>
          <w:tblCellMar>
            <w:top w:w="0" w:type="dxa"/>
            <w:left w:w="0" w:type="dxa"/>
            <w:bottom w:w="0" w:type="dxa"/>
            <w:right w:w="0" w:type="dxa"/>
          </w:tblCellMar>
        </w:tblPrEx>
        <w:trPr>
          <w:trHeight w:val="248"/>
        </w:trPr>
        <w:tc>
          <w:tcPr>
            <w:tcW w:w="1617" w:type="dxa"/>
          </w:tcPr>
          <w:p w:rsidR="000C1BB8" w:rsidRPr="000C1BB8" w:rsidRDefault="000C1BB8" w:rsidP="000C1BB8">
            <w:pPr>
              <w:kinsoku w:val="0"/>
              <w:overflowPunct w:val="0"/>
              <w:autoSpaceDE w:val="0"/>
              <w:autoSpaceDN w:val="0"/>
              <w:adjustRightInd w:val="0"/>
              <w:spacing w:before="2" w:after="0" w:line="226" w:lineRule="exact"/>
              <w:ind w:left="42"/>
              <w:rPr>
                <w:rFonts w:ascii="Calibri" w:hAnsi="Calibri" w:cs="Calibri"/>
                <w:color w:val="2E74B5"/>
                <w:w w:val="105"/>
                <w:sz w:val="20"/>
                <w:szCs w:val="20"/>
              </w:rPr>
            </w:pPr>
            <w:r w:rsidRPr="000C1BB8">
              <w:rPr>
                <w:rFonts w:ascii="Calibri" w:hAnsi="Calibri" w:cs="Calibri"/>
                <w:color w:val="2E74B5"/>
                <w:w w:val="105"/>
                <w:sz w:val="20"/>
                <w:szCs w:val="20"/>
              </w:rPr>
              <w:t>2018‐2019</w:t>
            </w:r>
          </w:p>
        </w:tc>
        <w:tc>
          <w:tcPr>
            <w:tcW w:w="1260" w:type="dxa"/>
          </w:tcPr>
          <w:p w:rsidR="000C1BB8" w:rsidRPr="000C1BB8" w:rsidRDefault="000C1BB8" w:rsidP="000C1BB8">
            <w:pPr>
              <w:kinsoku w:val="0"/>
              <w:overflowPunct w:val="0"/>
              <w:autoSpaceDE w:val="0"/>
              <w:autoSpaceDN w:val="0"/>
              <w:adjustRightInd w:val="0"/>
              <w:spacing w:before="2" w:after="0" w:line="226" w:lineRule="exact"/>
              <w:ind w:right="109"/>
              <w:jc w:val="right"/>
              <w:rPr>
                <w:rFonts w:ascii="Calibri" w:hAnsi="Calibri" w:cs="Calibri"/>
                <w:color w:val="2E74B5"/>
                <w:sz w:val="20"/>
                <w:szCs w:val="20"/>
              </w:rPr>
            </w:pPr>
            <w:r w:rsidRPr="000C1BB8">
              <w:rPr>
                <w:rFonts w:ascii="Calibri" w:hAnsi="Calibri" w:cs="Calibri"/>
                <w:color w:val="2E74B5"/>
                <w:sz w:val="20"/>
                <w:szCs w:val="20"/>
              </w:rPr>
              <w:t>39</w:t>
            </w:r>
          </w:p>
        </w:tc>
        <w:tc>
          <w:tcPr>
            <w:tcW w:w="1533" w:type="dxa"/>
          </w:tcPr>
          <w:p w:rsidR="000C1BB8" w:rsidRPr="000C1BB8" w:rsidRDefault="000C1BB8" w:rsidP="000C1BB8">
            <w:pPr>
              <w:kinsoku w:val="0"/>
              <w:overflowPunct w:val="0"/>
              <w:autoSpaceDE w:val="0"/>
              <w:autoSpaceDN w:val="0"/>
              <w:adjustRightInd w:val="0"/>
              <w:spacing w:before="2" w:after="0" w:line="226" w:lineRule="exact"/>
              <w:ind w:right="150"/>
              <w:jc w:val="right"/>
              <w:rPr>
                <w:rFonts w:ascii="Calibri" w:hAnsi="Calibri" w:cs="Calibri"/>
                <w:color w:val="2E74B5"/>
                <w:sz w:val="20"/>
                <w:szCs w:val="20"/>
              </w:rPr>
            </w:pPr>
            <w:r w:rsidRPr="000C1BB8">
              <w:rPr>
                <w:rFonts w:ascii="Calibri" w:hAnsi="Calibri" w:cs="Calibri"/>
                <w:color w:val="2E74B5"/>
                <w:sz w:val="20"/>
                <w:szCs w:val="20"/>
              </w:rPr>
              <w:t>34</w:t>
            </w:r>
          </w:p>
        </w:tc>
        <w:tc>
          <w:tcPr>
            <w:tcW w:w="990" w:type="dxa"/>
          </w:tcPr>
          <w:p w:rsidR="000C1BB8" w:rsidRPr="000C1BB8" w:rsidRDefault="000C1BB8" w:rsidP="000C1BB8">
            <w:pPr>
              <w:kinsoku w:val="0"/>
              <w:overflowPunct w:val="0"/>
              <w:autoSpaceDE w:val="0"/>
              <w:autoSpaceDN w:val="0"/>
              <w:adjustRightInd w:val="0"/>
              <w:spacing w:before="2" w:after="0" w:line="226" w:lineRule="exact"/>
              <w:ind w:right="6"/>
              <w:jc w:val="right"/>
              <w:rPr>
                <w:rFonts w:ascii="Calibri" w:hAnsi="Calibri" w:cs="Calibri"/>
                <w:color w:val="2E74B5"/>
                <w:sz w:val="20"/>
                <w:szCs w:val="20"/>
              </w:rPr>
            </w:pPr>
            <w:r w:rsidRPr="000C1BB8">
              <w:rPr>
                <w:rFonts w:ascii="Calibri" w:hAnsi="Calibri" w:cs="Calibri"/>
                <w:color w:val="2E74B5"/>
                <w:sz w:val="20"/>
                <w:szCs w:val="20"/>
              </w:rPr>
              <w:t>87%</w:t>
            </w:r>
          </w:p>
        </w:tc>
      </w:tr>
      <w:tr w:rsidR="000C1BB8" w:rsidRPr="000C1BB8" w:rsidTr="000C1BB8">
        <w:tblPrEx>
          <w:tblCellMar>
            <w:top w:w="0" w:type="dxa"/>
            <w:left w:w="0" w:type="dxa"/>
            <w:bottom w:w="0" w:type="dxa"/>
            <w:right w:w="0" w:type="dxa"/>
          </w:tblCellMar>
        </w:tblPrEx>
        <w:trPr>
          <w:trHeight w:val="259"/>
        </w:trPr>
        <w:tc>
          <w:tcPr>
            <w:tcW w:w="1617" w:type="dxa"/>
          </w:tcPr>
          <w:p w:rsidR="000C1BB8" w:rsidRPr="000C1BB8" w:rsidRDefault="000C1BB8" w:rsidP="000C1BB8">
            <w:pPr>
              <w:kinsoku w:val="0"/>
              <w:overflowPunct w:val="0"/>
              <w:autoSpaceDE w:val="0"/>
              <w:autoSpaceDN w:val="0"/>
              <w:adjustRightInd w:val="0"/>
              <w:spacing w:before="2" w:after="0" w:line="238" w:lineRule="exact"/>
              <w:ind w:left="52"/>
              <w:rPr>
                <w:rFonts w:ascii="Calibri" w:hAnsi="Calibri" w:cs="Calibri"/>
                <w:color w:val="2E74B5"/>
                <w:w w:val="105"/>
                <w:sz w:val="20"/>
                <w:szCs w:val="20"/>
              </w:rPr>
            </w:pPr>
            <w:r w:rsidRPr="000C1BB8">
              <w:rPr>
                <w:rFonts w:ascii="Calibri" w:hAnsi="Calibri" w:cs="Calibri"/>
                <w:color w:val="2E74B5"/>
                <w:w w:val="105"/>
                <w:sz w:val="20"/>
                <w:szCs w:val="20"/>
              </w:rPr>
              <w:t>2019‐2020</w:t>
            </w:r>
          </w:p>
        </w:tc>
        <w:tc>
          <w:tcPr>
            <w:tcW w:w="1260" w:type="dxa"/>
          </w:tcPr>
          <w:p w:rsidR="000C1BB8" w:rsidRPr="000C1BB8" w:rsidRDefault="000C1BB8" w:rsidP="000C1BB8">
            <w:pPr>
              <w:kinsoku w:val="0"/>
              <w:overflowPunct w:val="0"/>
              <w:autoSpaceDE w:val="0"/>
              <w:autoSpaceDN w:val="0"/>
              <w:adjustRightInd w:val="0"/>
              <w:spacing w:before="2" w:after="0" w:line="238" w:lineRule="exact"/>
              <w:ind w:right="109"/>
              <w:jc w:val="right"/>
              <w:rPr>
                <w:rFonts w:ascii="Calibri" w:hAnsi="Calibri" w:cs="Calibri"/>
                <w:color w:val="2E74B5"/>
                <w:sz w:val="20"/>
                <w:szCs w:val="20"/>
              </w:rPr>
            </w:pPr>
            <w:r w:rsidRPr="000C1BB8">
              <w:rPr>
                <w:rFonts w:ascii="Calibri" w:hAnsi="Calibri" w:cs="Calibri"/>
                <w:color w:val="2E74B5"/>
                <w:sz w:val="20"/>
                <w:szCs w:val="20"/>
              </w:rPr>
              <w:t>39</w:t>
            </w:r>
          </w:p>
        </w:tc>
        <w:tc>
          <w:tcPr>
            <w:tcW w:w="1533" w:type="dxa"/>
          </w:tcPr>
          <w:p w:rsidR="000C1BB8" w:rsidRPr="000C1BB8" w:rsidRDefault="000C1BB8" w:rsidP="000C1BB8">
            <w:pPr>
              <w:kinsoku w:val="0"/>
              <w:overflowPunct w:val="0"/>
              <w:autoSpaceDE w:val="0"/>
              <w:autoSpaceDN w:val="0"/>
              <w:adjustRightInd w:val="0"/>
              <w:spacing w:before="2" w:after="0" w:line="238" w:lineRule="exact"/>
              <w:ind w:right="150"/>
              <w:jc w:val="right"/>
              <w:rPr>
                <w:rFonts w:ascii="Calibri" w:hAnsi="Calibri" w:cs="Calibri"/>
                <w:color w:val="2E74B5"/>
                <w:sz w:val="20"/>
                <w:szCs w:val="20"/>
              </w:rPr>
            </w:pPr>
            <w:r w:rsidRPr="000C1BB8">
              <w:rPr>
                <w:rFonts w:ascii="Calibri" w:hAnsi="Calibri" w:cs="Calibri"/>
                <w:color w:val="2E74B5"/>
                <w:sz w:val="20"/>
                <w:szCs w:val="20"/>
              </w:rPr>
              <w:t>35</w:t>
            </w:r>
          </w:p>
        </w:tc>
        <w:tc>
          <w:tcPr>
            <w:tcW w:w="990" w:type="dxa"/>
          </w:tcPr>
          <w:p w:rsidR="000C1BB8" w:rsidRPr="000C1BB8" w:rsidRDefault="000C1BB8" w:rsidP="000C1BB8">
            <w:pPr>
              <w:kinsoku w:val="0"/>
              <w:overflowPunct w:val="0"/>
              <w:autoSpaceDE w:val="0"/>
              <w:autoSpaceDN w:val="0"/>
              <w:adjustRightInd w:val="0"/>
              <w:spacing w:before="2" w:after="0" w:line="238" w:lineRule="exact"/>
              <w:ind w:right="16"/>
              <w:jc w:val="right"/>
              <w:rPr>
                <w:rFonts w:ascii="Calibri" w:hAnsi="Calibri" w:cs="Calibri"/>
                <w:color w:val="2E74B5"/>
                <w:sz w:val="20"/>
                <w:szCs w:val="20"/>
              </w:rPr>
            </w:pPr>
            <w:r w:rsidRPr="000C1BB8">
              <w:rPr>
                <w:rFonts w:ascii="Calibri" w:hAnsi="Calibri" w:cs="Calibri"/>
                <w:color w:val="2E74B5"/>
                <w:sz w:val="20"/>
                <w:szCs w:val="20"/>
              </w:rPr>
              <w:t>90%</w:t>
            </w:r>
          </w:p>
        </w:tc>
      </w:tr>
    </w:tbl>
    <w:p w:rsidR="000C1BB8" w:rsidRPr="000C1BB8" w:rsidRDefault="000C1BB8" w:rsidP="000C1BB8">
      <w:pPr>
        <w:kinsoku w:val="0"/>
        <w:overflowPunct w:val="0"/>
        <w:autoSpaceDE w:val="0"/>
        <w:autoSpaceDN w:val="0"/>
        <w:adjustRightInd w:val="0"/>
        <w:spacing w:before="25" w:after="0" w:line="264" w:lineRule="auto"/>
        <w:ind w:left="40" w:right="533" w:hanging="1"/>
        <w:jc w:val="both"/>
        <w:rPr>
          <w:rFonts w:ascii="Calibri" w:hAnsi="Calibri" w:cs="Calibri"/>
          <w:w w:val="105"/>
          <w:sz w:val="20"/>
          <w:szCs w:val="20"/>
        </w:rPr>
      </w:pPr>
      <w:r w:rsidRPr="000C1BB8">
        <w:rPr>
          <w:rFonts w:ascii="Calibri" w:hAnsi="Calibri" w:cs="Calibri"/>
          <w:w w:val="105"/>
          <w:sz w:val="20"/>
          <w:szCs w:val="20"/>
        </w:rPr>
        <w:t>Our initial programs (Elementary &amp; Secondary Education) are 13-month cohort‐based programs. Our most recent program completers matriculated in 2019‐20 and were recommended for licensure in summer 2020. Candidates with an active or inactive status after 13 months are allowed up to 5 years to complete.</w:t>
      </w:r>
    </w:p>
    <w:p w:rsidR="000C1BB8" w:rsidRPr="000C1BB8" w:rsidRDefault="000C1BB8" w:rsidP="000C1BB8">
      <w:pPr>
        <w:kinsoku w:val="0"/>
        <w:overflowPunct w:val="0"/>
        <w:autoSpaceDE w:val="0"/>
        <w:autoSpaceDN w:val="0"/>
        <w:adjustRightInd w:val="0"/>
        <w:spacing w:before="1" w:after="0" w:line="240" w:lineRule="auto"/>
        <w:rPr>
          <w:rFonts w:ascii="Calibri" w:hAnsi="Calibri" w:cs="Calibri"/>
        </w:rPr>
      </w:pPr>
    </w:p>
    <w:p w:rsidR="000C1BB8" w:rsidRPr="000C1BB8" w:rsidRDefault="000C1BB8" w:rsidP="000C1BB8">
      <w:pPr>
        <w:kinsoku w:val="0"/>
        <w:overflowPunct w:val="0"/>
        <w:autoSpaceDE w:val="0"/>
        <w:autoSpaceDN w:val="0"/>
        <w:adjustRightInd w:val="0"/>
        <w:spacing w:after="0" w:line="264" w:lineRule="auto"/>
        <w:ind w:left="40" w:right="64"/>
        <w:rPr>
          <w:rFonts w:ascii="Calibri" w:hAnsi="Calibri" w:cs="Calibri"/>
          <w:w w:val="105"/>
          <w:sz w:val="20"/>
          <w:szCs w:val="20"/>
        </w:rPr>
      </w:pPr>
      <w:r w:rsidRPr="000C1BB8">
        <w:rPr>
          <w:rFonts w:ascii="Calibri" w:hAnsi="Calibri" w:cs="Calibri"/>
          <w:w w:val="105"/>
          <w:sz w:val="20"/>
          <w:szCs w:val="20"/>
        </w:rPr>
        <w:t>In Oregon, program completion is statutorily defined as recommendation for licensure. EPP‐recommended candidates have met all requirements for licensure, but not all program completers are ultimately licensed. (e.g. candidates who get jobs out‐of‐state may not need to file their Oregon licensure paperwork).</w:t>
      </w:r>
    </w:p>
    <w:p w:rsidR="000C1BB8" w:rsidRPr="000C1BB8" w:rsidRDefault="000C1BB8" w:rsidP="000C1BB8">
      <w:pPr>
        <w:kinsoku w:val="0"/>
        <w:overflowPunct w:val="0"/>
        <w:autoSpaceDE w:val="0"/>
        <w:autoSpaceDN w:val="0"/>
        <w:adjustRightInd w:val="0"/>
        <w:spacing w:before="61" w:after="0" w:line="240" w:lineRule="auto"/>
        <w:ind w:left="40"/>
        <w:rPr>
          <w:rFonts w:ascii="Calibri" w:hAnsi="Calibri" w:cs="Calibri"/>
          <w:w w:val="105"/>
          <w:sz w:val="20"/>
          <w:szCs w:val="20"/>
        </w:rPr>
      </w:pPr>
      <w:r w:rsidRPr="000C1BB8">
        <w:rPr>
          <w:rFonts w:ascii="Calibri" w:hAnsi="Calibri" w:cs="Calibri"/>
          <w:w w:val="105"/>
          <w:sz w:val="20"/>
          <w:szCs w:val="20"/>
          <w:u w:val="single" w:color="000000"/>
        </w:rPr>
        <w:t>Trends</w:t>
      </w:r>
    </w:p>
    <w:p w:rsidR="000C1BB8" w:rsidRPr="000C1BB8" w:rsidRDefault="000C1BB8" w:rsidP="000C1BB8">
      <w:pPr>
        <w:kinsoku w:val="0"/>
        <w:overflowPunct w:val="0"/>
        <w:autoSpaceDE w:val="0"/>
        <w:autoSpaceDN w:val="0"/>
        <w:adjustRightInd w:val="0"/>
        <w:spacing w:after="0" w:line="240" w:lineRule="auto"/>
        <w:ind w:left="39"/>
        <w:rPr>
          <w:rFonts w:ascii="Calibri" w:hAnsi="Calibri" w:cs="Calibri"/>
          <w:w w:val="105"/>
          <w:sz w:val="20"/>
          <w:szCs w:val="20"/>
        </w:rPr>
      </w:pPr>
      <w:r w:rsidRPr="000C1BB8">
        <w:rPr>
          <w:rFonts w:ascii="Calibri" w:hAnsi="Calibri" w:cs="Calibri"/>
          <w:w w:val="105"/>
          <w:sz w:val="20"/>
          <w:szCs w:val="20"/>
        </w:rPr>
        <w:t>After expected time to degree, licensure rate in our Secondary program has been consistently high over time.</w:t>
      </w:r>
    </w:p>
    <w:p w:rsidR="000C1BB8" w:rsidRDefault="000C1BB8"/>
    <w:p w:rsidR="000C1BB8" w:rsidRPr="000C1BB8" w:rsidRDefault="000C1BB8" w:rsidP="000C1BB8">
      <w:pPr>
        <w:kinsoku w:val="0"/>
        <w:overflowPunct w:val="0"/>
        <w:autoSpaceDE w:val="0"/>
        <w:autoSpaceDN w:val="0"/>
        <w:adjustRightInd w:val="0"/>
        <w:spacing w:before="1" w:after="0" w:line="240" w:lineRule="auto"/>
        <w:rPr>
          <w:rFonts w:ascii="Times New Roman" w:hAnsi="Times New Roman" w:cs="Times New Roman"/>
          <w:sz w:val="8"/>
          <w:szCs w:val="8"/>
        </w:rPr>
      </w:pPr>
    </w:p>
    <w:p w:rsidR="000C1BB8" w:rsidRDefault="000C1BB8"/>
    <w:sectPr w:rsidR="000C1BB8" w:rsidSect="000C1BB8">
      <w:pgSz w:w="12240" w:h="15840"/>
      <w:pgMar w:top="1060" w:right="1180" w:bottom="280" w:left="9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C1" w:rsidRDefault="006E62C1" w:rsidP="000C1BB8">
      <w:pPr>
        <w:spacing w:after="0" w:line="240" w:lineRule="auto"/>
      </w:pPr>
      <w:r>
        <w:separator/>
      </w:r>
    </w:p>
  </w:endnote>
  <w:endnote w:type="continuationSeparator" w:id="0">
    <w:p w:rsidR="006E62C1" w:rsidRDefault="006E62C1" w:rsidP="000C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C1" w:rsidRDefault="006E62C1" w:rsidP="000C1BB8">
      <w:pPr>
        <w:spacing w:after="0" w:line="240" w:lineRule="auto"/>
      </w:pPr>
      <w:r>
        <w:separator/>
      </w:r>
    </w:p>
  </w:footnote>
  <w:footnote w:type="continuationSeparator" w:id="0">
    <w:p w:rsidR="006E62C1" w:rsidRDefault="006E62C1" w:rsidP="000C1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B8"/>
    <w:rsid w:val="000C1BB8"/>
    <w:rsid w:val="006E62C1"/>
    <w:rsid w:val="00DC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9983"/>
  <w15:chartTrackingRefBased/>
  <w15:docId w15:val="{D6E60D05-3DA5-4984-9261-C5709D7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B8"/>
  </w:style>
  <w:style w:type="paragraph" w:styleId="Footer">
    <w:name w:val="footer"/>
    <w:basedOn w:val="Normal"/>
    <w:link w:val="FooterChar"/>
    <w:uiPriority w:val="99"/>
    <w:unhideWhenUsed/>
    <w:rsid w:val="000C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Shepperson</dc:creator>
  <cp:keywords/>
  <dc:description/>
  <cp:lastModifiedBy>Barbara Shepperson</cp:lastModifiedBy>
  <cp:revision>1</cp:revision>
  <dcterms:created xsi:type="dcterms:W3CDTF">2021-05-03T23:07:00Z</dcterms:created>
  <dcterms:modified xsi:type="dcterms:W3CDTF">2021-05-03T23:15:00Z</dcterms:modified>
</cp:coreProperties>
</file>