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pPr w:leftFromText="180" w:rightFromText="180" w:vertAnchor="text" w:horzAnchor="margin" w:tblpXSpec="right" w:tblpY="996"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571"/>
        <w:gridCol w:w="1094"/>
        <w:gridCol w:w="1569"/>
      </w:tblGrid>
      <w:tr w:rsidR="00F130FB" w:rsidRPr="00F130FB" w:rsidTr="00F130FB">
        <w:trPr>
          <w:trHeight w:val="214"/>
          <w:jc w:val="right"/>
        </w:trPr>
        <w:tc>
          <w:tcPr>
            <w:tcW w:w="1568" w:type="dxa"/>
            <w:tcBorders>
              <w:top w:val="single" w:sz="18" w:space="0" w:color="5A9BD5"/>
              <w:left w:val="single" w:sz="18" w:space="0" w:color="5A9BD5"/>
              <w:bottom w:val="single" w:sz="18" w:space="0" w:color="5A9BD5"/>
              <w:right w:val="single" w:sz="18" w:space="0" w:color="5A9BD5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2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30FB">
              <w:rPr>
                <w:rFonts w:ascii="Calibri" w:hAnsi="Calibri" w:cs="Calibri"/>
                <w:b/>
                <w:bCs/>
                <w:sz w:val="20"/>
                <w:szCs w:val="20"/>
              </w:rPr>
              <w:t>Matriculation AY</w:t>
            </w:r>
          </w:p>
        </w:tc>
        <w:tc>
          <w:tcPr>
            <w:tcW w:w="4234" w:type="dxa"/>
            <w:gridSpan w:val="3"/>
            <w:tcBorders>
              <w:top w:val="single" w:sz="18" w:space="0" w:color="5A9BD5"/>
              <w:left w:val="single" w:sz="18" w:space="0" w:color="5A9BD5"/>
              <w:bottom w:val="single" w:sz="18" w:space="0" w:color="5A9BD5"/>
              <w:right w:val="single" w:sz="18" w:space="0" w:color="5A9BD5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9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</w:t>
            </w:r>
            <w:r w:rsidRPr="00F130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Matriculants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Pr="00F130FB">
              <w:rPr>
                <w:rFonts w:ascii="Calibri" w:hAnsi="Calibri" w:cs="Calibri"/>
                <w:b/>
                <w:bCs/>
                <w:sz w:val="20"/>
                <w:szCs w:val="20"/>
              </w:rPr>
              <w:t>Graduates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</w:t>
            </w:r>
            <w:r w:rsidRPr="00F130FB">
              <w:rPr>
                <w:rFonts w:ascii="Calibri" w:hAnsi="Calibri" w:cs="Calibri"/>
                <w:b/>
                <w:bCs/>
                <w:sz w:val="20"/>
                <w:szCs w:val="20"/>
              </w:rPr>
              <w:t>Graduation Rate</w:t>
            </w:r>
          </w:p>
        </w:tc>
      </w:tr>
      <w:tr w:rsidR="00F130FB" w:rsidRPr="00F130FB" w:rsidTr="00F130FB">
        <w:trPr>
          <w:trHeight w:val="227"/>
          <w:jc w:val="right"/>
        </w:trPr>
        <w:tc>
          <w:tcPr>
            <w:tcW w:w="1568" w:type="dxa"/>
            <w:tcBorders>
              <w:top w:val="single" w:sz="18" w:space="0" w:color="5A9BD5"/>
              <w:left w:val="single" w:sz="8" w:space="0" w:color="5A9BD5"/>
              <w:bottom w:val="single" w:sz="8" w:space="0" w:color="DDEBF7"/>
              <w:right w:val="single" w:sz="18" w:space="0" w:color="5A9BD5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08" w:lineRule="exact"/>
              <w:ind w:left="41"/>
              <w:rPr>
                <w:rFonts w:ascii="Calibri" w:hAnsi="Calibri" w:cs="Calibri"/>
                <w:color w:val="2E74B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sz w:val="20"/>
                <w:szCs w:val="20"/>
              </w:rPr>
              <w:t>2016‐2017</w:t>
            </w:r>
          </w:p>
        </w:tc>
        <w:tc>
          <w:tcPr>
            <w:tcW w:w="1571" w:type="dxa"/>
            <w:tcBorders>
              <w:top w:val="single" w:sz="18" w:space="0" w:color="5A9BD5"/>
              <w:left w:val="single" w:sz="18" w:space="0" w:color="5A9BD5"/>
              <w:bottom w:val="single" w:sz="8" w:space="0" w:color="DDEBF7"/>
              <w:right w:val="single" w:sz="2" w:space="0" w:color="000000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08" w:lineRule="exact"/>
              <w:ind w:right="12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22</w:t>
            </w:r>
          </w:p>
        </w:tc>
        <w:tc>
          <w:tcPr>
            <w:tcW w:w="1094" w:type="dxa"/>
            <w:tcBorders>
              <w:top w:val="single" w:sz="18" w:space="0" w:color="5A9BD5"/>
              <w:left w:val="single" w:sz="2" w:space="0" w:color="000000"/>
              <w:bottom w:val="single" w:sz="8" w:space="0" w:color="DDEBF7"/>
              <w:right w:val="single" w:sz="2" w:space="0" w:color="000000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08" w:lineRule="exact"/>
              <w:ind w:right="12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22</w:t>
            </w:r>
          </w:p>
        </w:tc>
        <w:tc>
          <w:tcPr>
            <w:tcW w:w="1569" w:type="dxa"/>
            <w:tcBorders>
              <w:top w:val="single" w:sz="18" w:space="0" w:color="5A9BD5"/>
              <w:left w:val="single" w:sz="2" w:space="0" w:color="000000"/>
              <w:bottom w:val="single" w:sz="8" w:space="0" w:color="DDEBF7"/>
              <w:right w:val="single" w:sz="2" w:space="0" w:color="000000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08" w:lineRule="exact"/>
              <w:ind w:right="10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100%</w:t>
            </w:r>
          </w:p>
        </w:tc>
      </w:tr>
      <w:tr w:rsidR="00F130FB" w:rsidRPr="00F130FB" w:rsidTr="00F130FB">
        <w:trPr>
          <w:trHeight w:val="239"/>
          <w:jc w:val="right"/>
        </w:trPr>
        <w:tc>
          <w:tcPr>
            <w:tcW w:w="1568" w:type="dxa"/>
            <w:tcBorders>
              <w:top w:val="single" w:sz="8" w:space="0" w:color="DDEBF7"/>
              <w:left w:val="single" w:sz="8" w:space="0" w:color="5A9BD5"/>
              <w:bottom w:val="single" w:sz="8" w:space="0" w:color="DDEBF7"/>
              <w:right w:val="single" w:sz="18" w:space="0" w:color="5A9BD5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41"/>
              <w:rPr>
                <w:rFonts w:ascii="Calibri" w:hAnsi="Calibri" w:cs="Calibri"/>
                <w:color w:val="2E74B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sz w:val="20"/>
                <w:szCs w:val="20"/>
              </w:rPr>
              <w:t>2017‐2018</w:t>
            </w:r>
          </w:p>
        </w:tc>
        <w:tc>
          <w:tcPr>
            <w:tcW w:w="1571" w:type="dxa"/>
            <w:tcBorders>
              <w:top w:val="single" w:sz="8" w:space="0" w:color="DDEBF7"/>
              <w:left w:val="single" w:sz="18" w:space="0" w:color="5A9BD5"/>
              <w:bottom w:val="single" w:sz="8" w:space="0" w:color="DDEBF7"/>
              <w:right w:val="single" w:sz="2" w:space="0" w:color="000000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2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26</w:t>
            </w:r>
          </w:p>
        </w:tc>
        <w:tc>
          <w:tcPr>
            <w:tcW w:w="1094" w:type="dxa"/>
            <w:tcBorders>
              <w:top w:val="single" w:sz="8" w:space="0" w:color="DDEBF7"/>
              <w:left w:val="single" w:sz="2" w:space="0" w:color="000000"/>
              <w:bottom w:val="single" w:sz="8" w:space="0" w:color="DDEBF7"/>
              <w:right w:val="single" w:sz="2" w:space="0" w:color="000000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2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23</w:t>
            </w:r>
          </w:p>
        </w:tc>
        <w:tc>
          <w:tcPr>
            <w:tcW w:w="1569" w:type="dxa"/>
            <w:tcBorders>
              <w:top w:val="single" w:sz="8" w:space="0" w:color="DDEBF7"/>
              <w:left w:val="single" w:sz="2" w:space="0" w:color="000000"/>
              <w:bottom w:val="single" w:sz="8" w:space="0" w:color="DDEBF7"/>
              <w:right w:val="single" w:sz="2" w:space="0" w:color="000000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0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88%</w:t>
            </w:r>
          </w:p>
        </w:tc>
      </w:tr>
      <w:tr w:rsidR="00F130FB" w:rsidRPr="00F130FB" w:rsidTr="00F130FB">
        <w:trPr>
          <w:trHeight w:val="239"/>
          <w:jc w:val="right"/>
        </w:trPr>
        <w:tc>
          <w:tcPr>
            <w:tcW w:w="1568" w:type="dxa"/>
            <w:tcBorders>
              <w:top w:val="single" w:sz="8" w:space="0" w:color="DDEBF7"/>
              <w:left w:val="single" w:sz="8" w:space="0" w:color="5A9BD5"/>
              <w:bottom w:val="single" w:sz="8" w:space="0" w:color="DDEBF7"/>
              <w:right w:val="single" w:sz="18" w:space="0" w:color="5A9BD5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41"/>
              <w:rPr>
                <w:rFonts w:ascii="Calibri" w:hAnsi="Calibri" w:cs="Calibri"/>
                <w:color w:val="2E74B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sz w:val="20"/>
                <w:szCs w:val="20"/>
              </w:rPr>
              <w:t>2018‐2019</w:t>
            </w:r>
          </w:p>
        </w:tc>
        <w:tc>
          <w:tcPr>
            <w:tcW w:w="1571" w:type="dxa"/>
            <w:tcBorders>
              <w:top w:val="single" w:sz="8" w:space="0" w:color="DDEBF7"/>
              <w:left w:val="single" w:sz="18" w:space="0" w:color="5A9BD5"/>
              <w:bottom w:val="single" w:sz="8" w:space="0" w:color="DDEBF7"/>
              <w:right w:val="single" w:sz="2" w:space="0" w:color="000000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2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34</w:t>
            </w:r>
          </w:p>
        </w:tc>
        <w:tc>
          <w:tcPr>
            <w:tcW w:w="1094" w:type="dxa"/>
            <w:tcBorders>
              <w:top w:val="single" w:sz="8" w:space="0" w:color="DDEBF7"/>
              <w:left w:val="single" w:sz="2" w:space="0" w:color="000000"/>
              <w:bottom w:val="single" w:sz="8" w:space="0" w:color="DDEBF7"/>
              <w:right w:val="single" w:sz="2" w:space="0" w:color="000000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2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33</w:t>
            </w:r>
          </w:p>
        </w:tc>
        <w:tc>
          <w:tcPr>
            <w:tcW w:w="1569" w:type="dxa"/>
            <w:tcBorders>
              <w:top w:val="single" w:sz="8" w:space="0" w:color="DDEBF7"/>
              <w:left w:val="single" w:sz="2" w:space="0" w:color="000000"/>
              <w:bottom w:val="single" w:sz="8" w:space="0" w:color="DDEBF7"/>
              <w:right w:val="single" w:sz="2" w:space="0" w:color="000000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0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97%</w:t>
            </w:r>
          </w:p>
        </w:tc>
      </w:tr>
      <w:tr w:rsidR="00F130FB" w:rsidRPr="00F130FB" w:rsidTr="00F130FB">
        <w:trPr>
          <w:trHeight w:val="239"/>
          <w:jc w:val="right"/>
        </w:trPr>
        <w:tc>
          <w:tcPr>
            <w:tcW w:w="1568" w:type="dxa"/>
            <w:tcBorders>
              <w:top w:val="single" w:sz="8" w:space="0" w:color="DDEBF7"/>
              <w:left w:val="single" w:sz="8" w:space="0" w:color="5A9BD5"/>
              <w:bottom w:val="single" w:sz="8" w:space="0" w:color="5A9BD5"/>
              <w:right w:val="single" w:sz="18" w:space="0" w:color="5A9BD5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41"/>
              <w:rPr>
                <w:rFonts w:ascii="Calibri" w:hAnsi="Calibri" w:cs="Calibri"/>
                <w:color w:val="2E74B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sz w:val="20"/>
                <w:szCs w:val="20"/>
              </w:rPr>
              <w:t>2019‐2020</w:t>
            </w:r>
          </w:p>
        </w:tc>
        <w:tc>
          <w:tcPr>
            <w:tcW w:w="1571" w:type="dxa"/>
            <w:tcBorders>
              <w:top w:val="single" w:sz="8" w:space="0" w:color="DDEBF7"/>
              <w:left w:val="single" w:sz="18" w:space="0" w:color="5A9BD5"/>
              <w:bottom w:val="single" w:sz="8" w:space="0" w:color="5A9BD5"/>
              <w:right w:val="single" w:sz="2" w:space="0" w:color="000000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2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22</w:t>
            </w:r>
          </w:p>
        </w:tc>
        <w:tc>
          <w:tcPr>
            <w:tcW w:w="1094" w:type="dxa"/>
            <w:tcBorders>
              <w:top w:val="single" w:sz="8" w:space="0" w:color="DDEBF7"/>
              <w:left w:val="single" w:sz="2" w:space="0" w:color="000000"/>
              <w:bottom w:val="single" w:sz="8" w:space="0" w:color="5A9BD5"/>
              <w:right w:val="single" w:sz="2" w:space="0" w:color="000000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2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20</w:t>
            </w:r>
          </w:p>
        </w:tc>
        <w:tc>
          <w:tcPr>
            <w:tcW w:w="1569" w:type="dxa"/>
            <w:tcBorders>
              <w:top w:val="single" w:sz="8" w:space="0" w:color="DDEBF7"/>
              <w:left w:val="single" w:sz="2" w:space="0" w:color="000000"/>
              <w:bottom w:val="single" w:sz="8" w:space="0" w:color="5A9BD5"/>
              <w:right w:val="single" w:sz="2" w:space="0" w:color="000000"/>
            </w:tcBorders>
          </w:tcPr>
          <w:p w:rsidR="00F130FB" w:rsidRPr="00F130FB" w:rsidRDefault="00F130FB" w:rsidP="00F130FB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0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91%</w:t>
            </w:r>
          </w:p>
        </w:tc>
      </w:tr>
    </w:tbl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after="0" w:line="203" w:lineRule="exact"/>
        <w:ind w:left="39"/>
        <w:outlineLvl w:val="0"/>
        <w:rPr>
          <w:rFonts w:ascii="Calibri" w:hAnsi="Calibri" w:cs="Calibri"/>
          <w:b/>
          <w:bCs/>
          <w:sz w:val="20"/>
          <w:szCs w:val="20"/>
        </w:rPr>
      </w:pPr>
      <w:r w:rsidRPr="00F130FB">
        <w:rPr>
          <w:rFonts w:ascii="Calibri" w:hAnsi="Calibri" w:cs="Calibri"/>
          <w:b/>
          <w:bCs/>
          <w:sz w:val="20"/>
          <w:szCs w:val="20"/>
        </w:rPr>
        <w:t>Elementary Graduation Rate</w:t>
      </w:r>
    </w:p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b/>
          <w:bCs/>
          <w:sz w:val="20"/>
          <w:szCs w:val="20"/>
        </w:rPr>
      </w:pPr>
      <w:r w:rsidRPr="00F130FB">
        <w:rPr>
          <w:rFonts w:ascii="Calibri" w:hAnsi="Calibri" w:cs="Calibri"/>
          <w:b/>
          <w:bCs/>
          <w:sz w:val="20"/>
          <w:szCs w:val="20"/>
        </w:rPr>
        <w:t>Matriculation AY's 2016‐17 through 2019‐20</w:t>
      </w:r>
    </w:p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b/>
          <w:bCs/>
        </w:rPr>
      </w:pPr>
    </w:p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z w:val="20"/>
          <w:szCs w:val="20"/>
        </w:rPr>
      </w:pPr>
      <w:r w:rsidRPr="00F130FB">
        <w:rPr>
          <w:rFonts w:ascii="Calibri" w:hAnsi="Calibri" w:cs="Calibri"/>
          <w:sz w:val="20"/>
          <w:szCs w:val="20"/>
          <w:u w:val="single" w:color="000000"/>
        </w:rPr>
        <w:t>Data Notes</w:t>
      </w:r>
    </w:p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before="15" w:after="0" w:line="254" w:lineRule="auto"/>
        <w:ind w:left="40" w:hanging="1"/>
        <w:rPr>
          <w:rFonts w:ascii="Calibri" w:hAnsi="Calibri" w:cs="Calibri"/>
          <w:sz w:val="20"/>
          <w:szCs w:val="20"/>
        </w:rPr>
      </w:pPr>
      <w:r w:rsidRPr="00F130FB">
        <w:rPr>
          <w:rFonts w:ascii="Calibri" w:hAnsi="Calibri" w:cs="Calibri"/>
          <w:sz w:val="20"/>
          <w:szCs w:val="20"/>
        </w:rPr>
        <w:t>Our initial programs (Elementary &amp; Secondary Education) are 13-month cohort‐based programs. Our most recent graduates matriculated in 2019‐20 and graduated in summer 2020. Candidates with an active or inactive status after 13 months are allowed up to 5 years to complete.</w:t>
      </w:r>
    </w:p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1"/>
          <w:szCs w:val="21"/>
        </w:rPr>
      </w:pPr>
    </w:p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/>
        <w:rPr>
          <w:rFonts w:ascii="Calibri" w:hAnsi="Calibri" w:cs="Calibri"/>
          <w:sz w:val="20"/>
          <w:szCs w:val="20"/>
        </w:rPr>
      </w:pPr>
      <w:r w:rsidRPr="00F130FB">
        <w:rPr>
          <w:rFonts w:ascii="Calibri" w:hAnsi="Calibri" w:cs="Calibri"/>
          <w:sz w:val="20"/>
          <w:szCs w:val="20"/>
          <w:u w:val="single" w:color="000000"/>
        </w:rPr>
        <w:t>Trends</w:t>
      </w:r>
    </w:p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After</w:t>
      </w:r>
      <w:r w:rsidRPr="00F130FB">
        <w:rPr>
          <w:rFonts w:ascii="Calibri" w:hAnsi="Calibri" w:cs="Calibri"/>
          <w:sz w:val="20"/>
          <w:szCs w:val="20"/>
        </w:rPr>
        <w:t xml:space="preserve"> expected time to degree,</w:t>
      </w:r>
      <w:r w:rsidR="002E512E">
        <w:rPr>
          <w:rFonts w:ascii="Calibri" w:hAnsi="Calibri" w:cs="Calibri"/>
          <w:sz w:val="20"/>
          <w:szCs w:val="20"/>
        </w:rPr>
        <w:t xml:space="preserve"> the</w:t>
      </w:r>
      <w:r w:rsidRPr="00F130FB">
        <w:rPr>
          <w:rFonts w:ascii="Calibri" w:hAnsi="Calibri" w:cs="Calibri"/>
          <w:sz w:val="20"/>
          <w:szCs w:val="20"/>
        </w:rPr>
        <w:t xml:space="preserve"> graduation rate in our Elementary program </w:t>
      </w:r>
      <w:r w:rsidR="002E512E">
        <w:rPr>
          <w:rFonts w:ascii="Calibri" w:hAnsi="Calibri" w:cs="Calibri"/>
          <w:sz w:val="20"/>
          <w:szCs w:val="20"/>
        </w:rPr>
        <w:t>is</w:t>
      </w:r>
      <w:r w:rsidR="002E512E" w:rsidRPr="00F130FB">
        <w:rPr>
          <w:rFonts w:ascii="Calibri" w:hAnsi="Calibri" w:cs="Calibri"/>
          <w:sz w:val="20"/>
          <w:szCs w:val="20"/>
        </w:rPr>
        <w:t xml:space="preserve"> consistently</w:t>
      </w:r>
      <w:r w:rsidRPr="00F130FB">
        <w:rPr>
          <w:rFonts w:ascii="Calibri" w:hAnsi="Calibri" w:cs="Calibri"/>
          <w:sz w:val="20"/>
          <w:szCs w:val="20"/>
        </w:rPr>
        <w:t xml:space="preserve"> high over time.</w:t>
      </w:r>
    </w:p>
    <w:p w:rsidR="00DC76F6" w:rsidRDefault="00DC76F6"/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after="0" w:line="203" w:lineRule="exact"/>
        <w:ind w:left="39"/>
        <w:outlineLvl w:val="0"/>
        <w:rPr>
          <w:rFonts w:ascii="Calibri" w:hAnsi="Calibri" w:cs="Calibri"/>
          <w:b/>
          <w:bCs/>
          <w:sz w:val="20"/>
          <w:szCs w:val="20"/>
        </w:rPr>
      </w:pPr>
      <w:r w:rsidRPr="00F130FB">
        <w:rPr>
          <w:rFonts w:ascii="Calibri" w:hAnsi="Calibri" w:cs="Calibri"/>
          <w:b/>
          <w:bCs/>
          <w:sz w:val="20"/>
          <w:szCs w:val="20"/>
        </w:rPr>
        <w:t>Secondary Graduation Rate</w:t>
      </w:r>
    </w:p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b/>
          <w:bCs/>
          <w:sz w:val="20"/>
          <w:szCs w:val="20"/>
        </w:rPr>
      </w:pPr>
      <w:r w:rsidRPr="00F130FB">
        <w:rPr>
          <w:rFonts w:ascii="Calibri" w:hAnsi="Calibri" w:cs="Calibri"/>
          <w:b/>
          <w:bCs/>
          <w:sz w:val="20"/>
          <w:szCs w:val="20"/>
        </w:rPr>
        <w:t>Matriculation AY's 2016‐17 through 2019‐20</w:t>
      </w:r>
    </w:p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b/>
          <w:bCs/>
        </w:rPr>
      </w:pPr>
    </w:p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z w:val="20"/>
          <w:szCs w:val="20"/>
        </w:rPr>
      </w:pPr>
      <w:r w:rsidRPr="00F130FB">
        <w:rPr>
          <w:rFonts w:ascii="Calibri" w:hAnsi="Calibri" w:cs="Calibri"/>
          <w:sz w:val="20"/>
          <w:szCs w:val="20"/>
          <w:u w:val="single" w:color="000000"/>
        </w:rPr>
        <w:t>Data Notes</w:t>
      </w:r>
    </w:p>
    <w:tbl>
      <w:tblPr>
        <w:tblpPr w:leftFromText="180" w:rightFromText="180" w:vertAnchor="text" w:horzAnchor="margin" w:tblpXSpec="right" w:tblpYSpec="top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1312"/>
        <w:gridCol w:w="1095"/>
        <w:gridCol w:w="1606"/>
      </w:tblGrid>
      <w:tr w:rsidR="002E512E" w:rsidRPr="00F130FB" w:rsidTr="002E512E">
        <w:trPr>
          <w:trHeight w:val="214"/>
        </w:trPr>
        <w:tc>
          <w:tcPr>
            <w:tcW w:w="1747" w:type="dxa"/>
            <w:tcBorders>
              <w:top w:val="single" w:sz="18" w:space="0" w:color="5A9BD5"/>
              <w:left w:val="single" w:sz="18" w:space="0" w:color="5A9BD5"/>
              <w:bottom w:val="single" w:sz="18" w:space="0" w:color="5A9BD5"/>
              <w:right w:val="single" w:sz="18" w:space="0" w:color="5A9BD5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2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30FB">
              <w:rPr>
                <w:rFonts w:ascii="Calibri" w:hAnsi="Calibri" w:cs="Calibri"/>
                <w:b/>
                <w:bCs/>
                <w:sz w:val="20"/>
                <w:szCs w:val="20"/>
              </w:rPr>
              <w:t>Matriculation AY</w:t>
            </w:r>
          </w:p>
        </w:tc>
        <w:tc>
          <w:tcPr>
            <w:tcW w:w="4013" w:type="dxa"/>
            <w:gridSpan w:val="3"/>
            <w:tcBorders>
              <w:top w:val="single" w:sz="18" w:space="0" w:color="5A9BD5"/>
              <w:left w:val="single" w:sz="18" w:space="0" w:color="5A9BD5"/>
              <w:bottom w:val="single" w:sz="18" w:space="0" w:color="5A9BD5"/>
              <w:right w:val="single" w:sz="18" w:space="0" w:color="5A9BD5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 w:rsidRPr="00F130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Matriculants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Pr="00F130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Graduates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Pr="00F130FB">
              <w:rPr>
                <w:rFonts w:ascii="Calibri" w:hAnsi="Calibri" w:cs="Calibri"/>
                <w:b/>
                <w:bCs/>
                <w:sz w:val="20"/>
                <w:szCs w:val="20"/>
              </w:rPr>
              <w:t>Graduation Rate</w:t>
            </w:r>
          </w:p>
        </w:tc>
      </w:tr>
      <w:tr w:rsidR="002E512E" w:rsidRPr="00F130FB" w:rsidTr="002E512E">
        <w:trPr>
          <w:trHeight w:val="227"/>
        </w:trPr>
        <w:tc>
          <w:tcPr>
            <w:tcW w:w="1747" w:type="dxa"/>
            <w:tcBorders>
              <w:top w:val="single" w:sz="18" w:space="0" w:color="5A9BD5"/>
              <w:left w:val="single" w:sz="8" w:space="0" w:color="5A9BD5"/>
              <w:bottom w:val="single" w:sz="8" w:space="0" w:color="DDEBF7"/>
              <w:right w:val="single" w:sz="18" w:space="0" w:color="5A9BD5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08" w:lineRule="exact"/>
              <w:ind w:left="41"/>
              <w:rPr>
                <w:rFonts w:ascii="Calibri" w:hAnsi="Calibri" w:cs="Calibri"/>
                <w:color w:val="2E74B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sz w:val="20"/>
                <w:szCs w:val="20"/>
              </w:rPr>
              <w:t>2016‐2017</w:t>
            </w:r>
          </w:p>
        </w:tc>
        <w:tc>
          <w:tcPr>
            <w:tcW w:w="1312" w:type="dxa"/>
            <w:tcBorders>
              <w:top w:val="single" w:sz="18" w:space="0" w:color="5A9BD5"/>
              <w:left w:val="single" w:sz="18" w:space="0" w:color="5A9BD5"/>
              <w:bottom w:val="single" w:sz="8" w:space="0" w:color="DDEBF7"/>
              <w:right w:val="single" w:sz="2" w:space="0" w:color="000000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08" w:lineRule="exact"/>
              <w:ind w:right="13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52</w:t>
            </w:r>
          </w:p>
        </w:tc>
        <w:tc>
          <w:tcPr>
            <w:tcW w:w="1095" w:type="dxa"/>
            <w:tcBorders>
              <w:top w:val="single" w:sz="18" w:space="0" w:color="5A9BD5"/>
              <w:left w:val="single" w:sz="2" w:space="0" w:color="000000"/>
              <w:bottom w:val="single" w:sz="8" w:space="0" w:color="DDEBF7"/>
              <w:right w:val="single" w:sz="2" w:space="0" w:color="000000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08" w:lineRule="exact"/>
              <w:ind w:right="14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49</w:t>
            </w:r>
          </w:p>
        </w:tc>
        <w:tc>
          <w:tcPr>
            <w:tcW w:w="1606" w:type="dxa"/>
            <w:tcBorders>
              <w:top w:val="single" w:sz="18" w:space="0" w:color="5A9BD5"/>
              <w:left w:val="single" w:sz="2" w:space="0" w:color="000000"/>
              <w:bottom w:val="single" w:sz="8" w:space="0" w:color="DDEBF7"/>
              <w:right w:val="single" w:sz="2" w:space="0" w:color="000000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08" w:lineRule="exact"/>
              <w:ind w:right="13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94%</w:t>
            </w:r>
          </w:p>
        </w:tc>
      </w:tr>
      <w:tr w:rsidR="002E512E" w:rsidRPr="00F130FB" w:rsidTr="002E512E">
        <w:trPr>
          <w:trHeight w:val="239"/>
        </w:trPr>
        <w:tc>
          <w:tcPr>
            <w:tcW w:w="1747" w:type="dxa"/>
            <w:tcBorders>
              <w:top w:val="single" w:sz="8" w:space="0" w:color="DDEBF7"/>
              <w:left w:val="single" w:sz="8" w:space="0" w:color="5A9BD5"/>
              <w:bottom w:val="single" w:sz="8" w:space="0" w:color="DDEBF7"/>
              <w:right w:val="single" w:sz="18" w:space="0" w:color="5A9BD5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41"/>
              <w:rPr>
                <w:rFonts w:ascii="Calibri" w:hAnsi="Calibri" w:cs="Calibri"/>
                <w:color w:val="2E74B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sz w:val="20"/>
                <w:szCs w:val="20"/>
              </w:rPr>
              <w:t>2017‐2018</w:t>
            </w:r>
          </w:p>
        </w:tc>
        <w:tc>
          <w:tcPr>
            <w:tcW w:w="1312" w:type="dxa"/>
            <w:tcBorders>
              <w:top w:val="single" w:sz="8" w:space="0" w:color="DDEBF7"/>
              <w:left w:val="single" w:sz="18" w:space="0" w:color="5A9BD5"/>
              <w:bottom w:val="single" w:sz="8" w:space="0" w:color="DDEBF7"/>
              <w:right w:val="single" w:sz="2" w:space="0" w:color="000000"/>
            </w:tcBorders>
          </w:tcPr>
          <w:p w:rsidR="002E512E" w:rsidRPr="00F130FB" w:rsidRDefault="007204EC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3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41</w:t>
            </w:r>
          </w:p>
        </w:tc>
        <w:tc>
          <w:tcPr>
            <w:tcW w:w="1095" w:type="dxa"/>
            <w:tcBorders>
              <w:top w:val="single" w:sz="8" w:space="0" w:color="DDEBF7"/>
              <w:left w:val="single" w:sz="2" w:space="0" w:color="000000"/>
              <w:bottom w:val="single" w:sz="8" w:space="0" w:color="DDEBF7"/>
              <w:right w:val="single" w:sz="2" w:space="0" w:color="000000"/>
            </w:tcBorders>
          </w:tcPr>
          <w:p w:rsidR="002E512E" w:rsidRPr="00F130FB" w:rsidRDefault="007204EC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4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39</w:t>
            </w:r>
          </w:p>
        </w:tc>
        <w:tc>
          <w:tcPr>
            <w:tcW w:w="1606" w:type="dxa"/>
            <w:tcBorders>
              <w:top w:val="single" w:sz="8" w:space="0" w:color="DDEBF7"/>
              <w:left w:val="single" w:sz="2" w:space="0" w:color="000000"/>
              <w:bottom w:val="single" w:sz="8" w:space="0" w:color="DDEBF7"/>
              <w:right w:val="single" w:sz="2" w:space="0" w:color="000000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3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95%</w:t>
            </w:r>
          </w:p>
        </w:tc>
      </w:tr>
      <w:tr w:rsidR="002E512E" w:rsidRPr="00F130FB" w:rsidTr="002E512E">
        <w:trPr>
          <w:trHeight w:val="239"/>
        </w:trPr>
        <w:tc>
          <w:tcPr>
            <w:tcW w:w="1747" w:type="dxa"/>
            <w:tcBorders>
              <w:top w:val="single" w:sz="8" w:space="0" w:color="DDEBF7"/>
              <w:left w:val="single" w:sz="8" w:space="0" w:color="5A9BD5"/>
              <w:bottom w:val="single" w:sz="8" w:space="0" w:color="DDEBF7"/>
              <w:right w:val="single" w:sz="18" w:space="0" w:color="5A9BD5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41"/>
              <w:rPr>
                <w:rFonts w:ascii="Calibri" w:hAnsi="Calibri" w:cs="Calibri"/>
                <w:color w:val="2E74B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sz w:val="20"/>
                <w:szCs w:val="20"/>
              </w:rPr>
              <w:t>2018‐2019</w:t>
            </w:r>
          </w:p>
        </w:tc>
        <w:tc>
          <w:tcPr>
            <w:tcW w:w="1312" w:type="dxa"/>
            <w:tcBorders>
              <w:top w:val="single" w:sz="8" w:space="0" w:color="DDEBF7"/>
              <w:left w:val="single" w:sz="18" w:space="0" w:color="5A9BD5"/>
              <w:bottom w:val="single" w:sz="8" w:space="0" w:color="DDEBF7"/>
              <w:right w:val="single" w:sz="2" w:space="0" w:color="000000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3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39</w:t>
            </w:r>
          </w:p>
        </w:tc>
        <w:tc>
          <w:tcPr>
            <w:tcW w:w="1095" w:type="dxa"/>
            <w:tcBorders>
              <w:top w:val="single" w:sz="8" w:space="0" w:color="DDEBF7"/>
              <w:left w:val="single" w:sz="2" w:space="0" w:color="000000"/>
              <w:bottom w:val="single" w:sz="8" w:space="0" w:color="DDEBF7"/>
              <w:right w:val="single" w:sz="2" w:space="0" w:color="000000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4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34</w:t>
            </w:r>
          </w:p>
        </w:tc>
        <w:tc>
          <w:tcPr>
            <w:tcW w:w="1606" w:type="dxa"/>
            <w:tcBorders>
              <w:top w:val="single" w:sz="8" w:space="0" w:color="DDEBF7"/>
              <w:left w:val="single" w:sz="2" w:space="0" w:color="000000"/>
              <w:bottom w:val="single" w:sz="8" w:space="0" w:color="DDEBF7"/>
              <w:right w:val="single" w:sz="2" w:space="0" w:color="000000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3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87%</w:t>
            </w:r>
          </w:p>
        </w:tc>
      </w:tr>
      <w:tr w:rsidR="002E512E" w:rsidRPr="00F130FB" w:rsidTr="002E512E">
        <w:trPr>
          <w:trHeight w:val="239"/>
        </w:trPr>
        <w:tc>
          <w:tcPr>
            <w:tcW w:w="1747" w:type="dxa"/>
            <w:tcBorders>
              <w:top w:val="single" w:sz="8" w:space="0" w:color="DDEBF7"/>
              <w:left w:val="single" w:sz="8" w:space="0" w:color="5A9BD5"/>
              <w:bottom w:val="single" w:sz="8" w:space="0" w:color="5A9BD5"/>
              <w:right w:val="single" w:sz="18" w:space="0" w:color="5A9BD5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41"/>
              <w:rPr>
                <w:rFonts w:ascii="Calibri" w:hAnsi="Calibri" w:cs="Calibri"/>
                <w:color w:val="2E74B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sz w:val="20"/>
                <w:szCs w:val="20"/>
              </w:rPr>
              <w:t>2019‐2020</w:t>
            </w:r>
          </w:p>
        </w:tc>
        <w:tc>
          <w:tcPr>
            <w:tcW w:w="1312" w:type="dxa"/>
            <w:tcBorders>
              <w:top w:val="single" w:sz="8" w:space="0" w:color="DDEBF7"/>
              <w:left w:val="single" w:sz="18" w:space="0" w:color="5A9BD5"/>
              <w:bottom w:val="single" w:sz="8" w:space="0" w:color="5A9BD5"/>
              <w:right w:val="single" w:sz="2" w:space="0" w:color="000000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3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39</w:t>
            </w:r>
          </w:p>
        </w:tc>
        <w:tc>
          <w:tcPr>
            <w:tcW w:w="1095" w:type="dxa"/>
            <w:tcBorders>
              <w:top w:val="single" w:sz="8" w:space="0" w:color="DDEBF7"/>
              <w:left w:val="single" w:sz="2" w:space="0" w:color="000000"/>
              <w:bottom w:val="single" w:sz="8" w:space="0" w:color="5A9BD5"/>
              <w:right w:val="single" w:sz="2" w:space="0" w:color="000000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4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36</w:t>
            </w:r>
          </w:p>
        </w:tc>
        <w:tc>
          <w:tcPr>
            <w:tcW w:w="1606" w:type="dxa"/>
            <w:tcBorders>
              <w:top w:val="single" w:sz="8" w:space="0" w:color="DDEBF7"/>
              <w:left w:val="single" w:sz="2" w:space="0" w:color="000000"/>
              <w:bottom w:val="single" w:sz="8" w:space="0" w:color="5A9BD5"/>
              <w:right w:val="single" w:sz="2" w:space="0" w:color="000000"/>
            </w:tcBorders>
          </w:tcPr>
          <w:p w:rsidR="002E512E" w:rsidRPr="00F130FB" w:rsidRDefault="002E512E" w:rsidP="002E512E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right="13"/>
              <w:jc w:val="right"/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</w:pPr>
            <w:r w:rsidRPr="00F130FB">
              <w:rPr>
                <w:rFonts w:ascii="Calibri" w:hAnsi="Calibri" w:cs="Calibri"/>
                <w:color w:val="2E74B5"/>
                <w:w w:val="95"/>
                <w:sz w:val="20"/>
                <w:szCs w:val="20"/>
              </w:rPr>
              <w:t>92%</w:t>
            </w:r>
          </w:p>
        </w:tc>
      </w:tr>
    </w:tbl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before="15" w:after="0" w:line="254" w:lineRule="auto"/>
        <w:ind w:left="40" w:right="36" w:hanging="1"/>
        <w:rPr>
          <w:rFonts w:ascii="Calibri" w:hAnsi="Calibri" w:cs="Calibri"/>
          <w:sz w:val="20"/>
          <w:szCs w:val="20"/>
        </w:rPr>
      </w:pPr>
      <w:r w:rsidRPr="00F130FB">
        <w:rPr>
          <w:rFonts w:ascii="Calibri" w:hAnsi="Calibri" w:cs="Calibri"/>
          <w:sz w:val="20"/>
          <w:szCs w:val="20"/>
        </w:rPr>
        <w:t>Our initial programs (Elementary &amp; Secondary Education) are 13-month cohort‐based programs. Our most recent graduates matriculated in 2019‐20 and graduated in summer 2020. Candidates with an active or inactive status after 13 months are allowed up to 5 years to complete.</w:t>
      </w:r>
    </w:p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1"/>
          <w:szCs w:val="21"/>
        </w:rPr>
      </w:pPr>
    </w:p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/>
        <w:rPr>
          <w:rFonts w:ascii="Calibri" w:hAnsi="Calibri" w:cs="Calibri"/>
          <w:sz w:val="20"/>
          <w:szCs w:val="20"/>
        </w:rPr>
      </w:pPr>
      <w:r w:rsidRPr="00F130FB">
        <w:rPr>
          <w:rFonts w:ascii="Calibri" w:hAnsi="Calibri" w:cs="Calibri"/>
          <w:sz w:val="20"/>
          <w:szCs w:val="20"/>
          <w:u w:val="single" w:color="000000"/>
        </w:rPr>
        <w:t>Trends</w:t>
      </w:r>
      <w:bookmarkStart w:id="0" w:name="_GoBack"/>
      <w:bookmarkEnd w:id="0"/>
    </w:p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40"/>
        <w:rPr>
          <w:rFonts w:ascii="Calibri" w:hAnsi="Calibri" w:cs="Calibri"/>
          <w:sz w:val="20"/>
          <w:szCs w:val="20"/>
        </w:rPr>
      </w:pPr>
      <w:r w:rsidRPr="00F130FB">
        <w:rPr>
          <w:rFonts w:ascii="Calibri" w:hAnsi="Calibri" w:cs="Calibri"/>
          <w:sz w:val="20"/>
          <w:szCs w:val="20"/>
        </w:rPr>
        <w:t xml:space="preserve">After expected time to degree, </w:t>
      </w:r>
      <w:r w:rsidR="002E512E">
        <w:rPr>
          <w:rFonts w:ascii="Calibri" w:hAnsi="Calibri" w:cs="Calibri"/>
          <w:sz w:val="20"/>
          <w:szCs w:val="20"/>
        </w:rPr>
        <w:t xml:space="preserve">the </w:t>
      </w:r>
      <w:r w:rsidRPr="00F130FB">
        <w:rPr>
          <w:rFonts w:ascii="Calibri" w:hAnsi="Calibri" w:cs="Calibri"/>
          <w:sz w:val="20"/>
          <w:szCs w:val="20"/>
        </w:rPr>
        <w:t xml:space="preserve">graduation rate in our Secondary program </w:t>
      </w:r>
      <w:r w:rsidR="002E512E">
        <w:rPr>
          <w:rFonts w:ascii="Calibri" w:hAnsi="Calibri" w:cs="Calibri"/>
          <w:sz w:val="20"/>
          <w:szCs w:val="20"/>
        </w:rPr>
        <w:t>is</w:t>
      </w:r>
      <w:r w:rsidRPr="00F130FB">
        <w:rPr>
          <w:rFonts w:ascii="Calibri" w:hAnsi="Calibri" w:cs="Calibri"/>
          <w:sz w:val="20"/>
          <w:szCs w:val="20"/>
        </w:rPr>
        <w:t xml:space="preserve"> consistently high over time</w:t>
      </w:r>
      <w:r>
        <w:rPr>
          <w:rFonts w:ascii="Calibri" w:hAnsi="Calibri" w:cs="Calibri"/>
          <w:sz w:val="20"/>
          <w:szCs w:val="20"/>
        </w:rPr>
        <w:t>.</w:t>
      </w:r>
    </w:p>
    <w:p w:rsidR="00F130FB" w:rsidRDefault="00F130FB"/>
    <w:p w:rsidR="00F130FB" w:rsidRPr="00F130FB" w:rsidRDefault="00F130FB" w:rsidP="00F130F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130FB" w:rsidRDefault="00F130FB"/>
    <w:sectPr w:rsidR="00F130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79" w:rsidRDefault="00141679" w:rsidP="00F130FB">
      <w:pPr>
        <w:spacing w:after="0" w:line="240" w:lineRule="auto"/>
      </w:pPr>
      <w:r>
        <w:separator/>
      </w:r>
    </w:p>
  </w:endnote>
  <w:endnote w:type="continuationSeparator" w:id="0">
    <w:p w:rsidR="00141679" w:rsidRDefault="00141679" w:rsidP="00F1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79" w:rsidRDefault="00141679" w:rsidP="00F130FB">
      <w:pPr>
        <w:spacing w:after="0" w:line="240" w:lineRule="auto"/>
      </w:pPr>
      <w:r>
        <w:separator/>
      </w:r>
    </w:p>
  </w:footnote>
  <w:footnote w:type="continuationSeparator" w:id="0">
    <w:p w:rsidR="00141679" w:rsidRDefault="00141679" w:rsidP="00F1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FB" w:rsidRDefault="00F130FB">
    <w:pPr>
      <w:pStyle w:val="Header"/>
    </w:pPr>
    <w:r>
      <w:t>Initial program Graduation Rates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FB"/>
    <w:rsid w:val="00141679"/>
    <w:rsid w:val="002E512E"/>
    <w:rsid w:val="00340C1E"/>
    <w:rsid w:val="007204EC"/>
    <w:rsid w:val="00DC76F6"/>
    <w:rsid w:val="00F130FB"/>
    <w:rsid w:val="00F2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F714"/>
  <w15:chartTrackingRefBased/>
  <w15:docId w15:val="{6F6157D2-1E8F-4507-AECF-7B679915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FB"/>
  </w:style>
  <w:style w:type="paragraph" w:styleId="Footer">
    <w:name w:val="footer"/>
    <w:basedOn w:val="Normal"/>
    <w:link w:val="FooterChar"/>
    <w:uiPriority w:val="99"/>
    <w:unhideWhenUsed/>
    <w:rsid w:val="00F1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Shepperson</dc:creator>
  <cp:keywords/>
  <dc:description/>
  <cp:lastModifiedBy>Barbara Shepperson</cp:lastModifiedBy>
  <cp:revision>2</cp:revision>
  <dcterms:created xsi:type="dcterms:W3CDTF">2021-05-03T21:34:00Z</dcterms:created>
  <dcterms:modified xsi:type="dcterms:W3CDTF">2021-05-03T21:34:00Z</dcterms:modified>
</cp:coreProperties>
</file>